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C96B3B"/>
          <w:sz w:val="18"/>
        </w:rPr>
        <w:t>БИЗНЕС-МОДЕЛИ  •  07.09.2026</w:t>
      </w:r>
    </w:p>
    <w:p>
      <w:pPr>
        <w:pStyle w:val="Title"/>
      </w:pPr>
      <w:r>
        <w:t>White label: due diligence производителя и матрица выбора</w:t>
      </w:r>
    </w:p>
    <w:p>
      <w:pPr>
        <w:pStyle w:val="Lead"/>
      </w:pPr>
      <w:r>
        <w:t>Рабочий документ для отбора фабрики до образца, договора и крупной предоплаты.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54"/>
      </w:tblGrid>
      <w:tr>
        <w:tc>
          <w:tcPr>
            <w:tcW w:type="dxa" w:w="10454"/>
            <w:shd w:fill="F3EFE8"/>
            <w:tcMar>
              <w:top w:w="125" w:type="dxa"/>
              <w:start w:w="125" w:type="dxa"/>
              <w:bottom w:w="125" w:type="dxa"/>
              <w:end w:w="125" w:type="dxa"/>
            </w:tcMar>
          </w:tcPr>
          <w:p>
            <w:r>
              <w:rPr>
                <w:rFonts w:ascii="Arial" w:hAnsi="Arial"/>
                <w:b/>
                <w:color w:val="0E1E35"/>
                <w:sz w:val="21"/>
              </w:rPr>
              <w:t>Как использовать</w:t>
              <w:br/>
            </w:r>
            <w:r>
              <w:rPr>
                <w:rFonts w:ascii="Arial" w:hAnsi="Arial"/>
                <w:color w:val="1D2735"/>
                <w:sz w:val="19"/>
              </w:rPr>
              <w:t>Заполнять по каждому поставщику отдельно. Для критических пунктов нужен документ, образец, договорная формулировка или проверяемый референс, а не презентация менеджера.</w:t>
            </w:r>
          </w:p>
        </w:tc>
      </w:tr>
    </w:tbl>
    <w:p>
      <w:pPr>
        <w:spacing w:after="0"/>
      </w:pPr>
    </w:p>
    <w:p>
      <w:pPr>
        <w:pStyle w:val="Heading1"/>
      </w:pPr>
      <w:r>
        <w:t>1. Стоп-лист</w:t>
      </w:r>
    </w:p>
    <w:p>
      <w:pPr>
        <w:pStyle w:val="ListBullet"/>
      </w:pPr>
      <w:r>
        <w:t>Юрлицо и площадка не идентифицируются.</w:t>
      </w:r>
    </w:p>
    <w:p>
      <w:pPr>
        <w:pStyle w:val="ListBullet"/>
      </w:pPr>
      <w:r>
        <w:t>Нет ответа, кто изготовитель и кто оформляет соответствие.</w:t>
      </w:r>
    </w:p>
    <w:p>
      <w:pPr>
        <w:pStyle w:val="ListBullet"/>
      </w:pPr>
      <w:r>
        <w:t>Нельзя получить образец или спецификацию до крупной предоплаты.</w:t>
      </w:r>
    </w:p>
    <w:p>
      <w:pPr>
        <w:pStyle w:val="ListBullet"/>
      </w:pPr>
      <w:r>
        <w:t>Производитель не фиксирует допустимые замены сырья/упаковки.</w:t>
      </w:r>
    </w:p>
    <w:p>
      <w:pPr>
        <w:pStyle w:val="ListBullet"/>
      </w:pPr>
      <w:r>
        <w:t>MOQ называют только устно и без разбивки по компонентам.</w:t>
      </w:r>
    </w:p>
    <w:p>
      <w:pPr>
        <w:pStyle w:val="ListBullet"/>
      </w:pPr>
      <w:r>
        <w:t>Нет механизма претензии по браку.</w:t>
      </w:r>
    </w:p>
    <w:p>
      <w:pPr>
        <w:pStyle w:val="ListBullet"/>
      </w:pPr>
      <w:r>
        <w:t>Для маркируемой категории никто не описывает роли в системе маркировки.</w:t>
      </w:r>
    </w:p>
    <w:p>
      <w:pPr>
        <w:pStyle w:val="Heading1"/>
      </w:pPr>
      <w:r>
        <w:t>2. 36 вопросов производителю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27"/>
        <w:gridCol w:w="5227"/>
      </w:tblGrid>
      <w:tr>
        <w:tc>
          <w:tcPr>
            <w:tcW w:type="dxa" w:w="5227"/>
            <w:shd w:fill="0E1E35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Блок</w:t>
            </w:r>
          </w:p>
        </w:tc>
        <w:tc>
          <w:tcPr>
            <w:tcW w:type="dxa" w:w="5227"/>
            <w:shd w:fill="0E1E35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Вопрос</w:t>
            </w:r>
          </w:p>
        </w:tc>
      </w:tr>
      <w:tr>
        <w:tc>
          <w:tcPr>
            <w:tcW w:type="dxa" w:w="5227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r>
              <w:rPr>
                <w:rFonts w:ascii="Arial" w:hAnsi="Arial"/>
                <w:color w:val="1D2735"/>
                <w:sz w:val="16"/>
              </w:rPr>
              <w:t>Компания</w:t>
            </w:r>
          </w:p>
        </w:tc>
        <w:tc>
          <w:tcPr>
            <w:tcW w:type="dxa" w:w="5227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r>
              <w:rPr>
                <w:rFonts w:ascii="Arial" w:hAnsi="Arial"/>
                <w:color w:val="1D2735"/>
                <w:sz w:val="16"/>
              </w:rPr>
              <w:t>Юрлицо, ИНН, адрес площадки и фактический изготовитель?</w:t>
            </w:r>
          </w:p>
        </w:tc>
      </w:tr>
      <w:tr>
        <w:tc>
          <w:tcPr>
            <w:tcW w:type="dxa" w:w="5227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  <w:shd w:fill="F8F5F0"/>
          </w:tcPr>
          <w:p>
            <w:r>
              <w:rPr>
                <w:rFonts w:ascii="Arial" w:hAnsi="Arial"/>
                <w:color w:val="1D2735"/>
                <w:sz w:val="16"/>
              </w:rPr>
              <w:t>Компания</w:t>
            </w:r>
          </w:p>
        </w:tc>
        <w:tc>
          <w:tcPr>
            <w:tcW w:type="dxa" w:w="5227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  <w:shd w:fill="F8F5F0"/>
          </w:tcPr>
          <w:p>
            <w:r>
              <w:rPr>
                <w:rFonts w:ascii="Arial" w:hAnsi="Arial"/>
                <w:color w:val="1D2735"/>
                <w:sz w:val="16"/>
              </w:rPr>
              <w:t>Какие операции свои, какие у субподрядчиков?</w:t>
            </w:r>
          </w:p>
        </w:tc>
      </w:tr>
      <w:tr>
        <w:tc>
          <w:tcPr>
            <w:tcW w:type="dxa" w:w="5227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r>
              <w:rPr>
                <w:rFonts w:ascii="Arial" w:hAnsi="Arial"/>
                <w:color w:val="1D2735"/>
                <w:sz w:val="16"/>
              </w:rPr>
              <w:t>Компания</w:t>
            </w:r>
          </w:p>
        </w:tc>
        <w:tc>
          <w:tcPr>
            <w:tcW w:type="dxa" w:w="5227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r>
              <w:rPr>
                <w:rFonts w:ascii="Arial" w:hAnsi="Arial"/>
                <w:color w:val="1D2735"/>
                <w:sz w:val="16"/>
              </w:rPr>
              <w:t>Можно ли провести визит/видеоаудит?</w:t>
            </w:r>
          </w:p>
        </w:tc>
      </w:tr>
      <w:tr>
        <w:tc>
          <w:tcPr>
            <w:tcW w:type="dxa" w:w="5227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  <w:shd w:fill="F8F5F0"/>
          </w:tcPr>
          <w:p>
            <w:r>
              <w:rPr>
                <w:rFonts w:ascii="Arial" w:hAnsi="Arial"/>
                <w:color w:val="1D2735"/>
                <w:sz w:val="16"/>
              </w:rPr>
              <w:t>Компания</w:t>
            </w:r>
          </w:p>
        </w:tc>
        <w:tc>
          <w:tcPr>
            <w:tcW w:type="dxa" w:w="5227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  <w:shd w:fill="F8F5F0"/>
          </w:tcPr>
          <w:p>
            <w:r>
              <w:rPr>
                <w:rFonts w:ascii="Arial" w:hAnsi="Arial"/>
                <w:color w:val="1D2735"/>
                <w:sz w:val="16"/>
              </w:rPr>
              <w:t>Какие документы системы качества/лаборатории есть, если применимо?</w:t>
            </w:r>
          </w:p>
        </w:tc>
      </w:tr>
      <w:tr>
        <w:tc>
          <w:tcPr>
            <w:tcW w:type="dxa" w:w="5227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r>
              <w:rPr>
                <w:rFonts w:ascii="Arial" w:hAnsi="Arial"/>
                <w:color w:val="1D2735"/>
                <w:sz w:val="16"/>
              </w:rPr>
              <w:t>Продукт</w:t>
            </w:r>
          </w:p>
        </w:tc>
        <w:tc>
          <w:tcPr>
            <w:tcW w:type="dxa" w:w="5227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r>
              <w:rPr>
                <w:rFonts w:ascii="Arial" w:hAnsi="Arial"/>
                <w:color w:val="1D2735"/>
                <w:sz w:val="16"/>
              </w:rPr>
              <w:t>Идентичен ли базовый продукт другим клиентам?</w:t>
            </w:r>
          </w:p>
        </w:tc>
      </w:tr>
      <w:tr>
        <w:tc>
          <w:tcPr>
            <w:tcW w:type="dxa" w:w="5227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  <w:shd w:fill="F8F5F0"/>
          </w:tcPr>
          <w:p>
            <w:r>
              <w:rPr>
                <w:rFonts w:ascii="Arial" w:hAnsi="Arial"/>
                <w:color w:val="1D2735"/>
                <w:sz w:val="16"/>
              </w:rPr>
              <w:t>Продукт</w:t>
            </w:r>
          </w:p>
        </w:tc>
        <w:tc>
          <w:tcPr>
            <w:tcW w:type="dxa" w:w="5227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  <w:shd w:fill="F8F5F0"/>
          </w:tcPr>
          <w:p>
            <w:r>
              <w:rPr>
                <w:rFonts w:ascii="Arial" w:hAnsi="Arial"/>
                <w:color w:val="1D2735"/>
                <w:sz w:val="16"/>
              </w:rPr>
              <w:t>Что можно менять: состав, аромат, цвет, фасовку, комплект?</w:t>
            </w:r>
          </w:p>
        </w:tc>
      </w:tr>
      <w:tr>
        <w:tc>
          <w:tcPr>
            <w:tcW w:type="dxa" w:w="5227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r>
              <w:rPr>
                <w:rFonts w:ascii="Arial" w:hAnsi="Arial"/>
                <w:color w:val="1D2735"/>
                <w:sz w:val="16"/>
              </w:rPr>
              <w:t>Продукт</w:t>
            </w:r>
          </w:p>
        </w:tc>
        <w:tc>
          <w:tcPr>
            <w:tcW w:type="dxa" w:w="5227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r>
              <w:rPr>
                <w:rFonts w:ascii="Arial" w:hAnsi="Arial"/>
                <w:color w:val="1D2735"/>
                <w:sz w:val="16"/>
              </w:rPr>
              <w:t>Какие изменения требуют нового тестирования/документов?</w:t>
            </w:r>
          </w:p>
        </w:tc>
      </w:tr>
      <w:tr>
        <w:tc>
          <w:tcPr>
            <w:tcW w:type="dxa" w:w="5227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  <w:shd w:fill="F8F5F0"/>
          </w:tcPr>
          <w:p>
            <w:r>
              <w:rPr>
                <w:rFonts w:ascii="Arial" w:hAnsi="Arial"/>
                <w:color w:val="1D2735"/>
                <w:sz w:val="16"/>
              </w:rPr>
              <w:t>Продукт</w:t>
            </w:r>
          </w:p>
        </w:tc>
        <w:tc>
          <w:tcPr>
            <w:tcW w:type="dxa" w:w="5227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  <w:shd w:fill="F8F5F0"/>
          </w:tcPr>
          <w:p>
            <w:r>
              <w:rPr>
                <w:rFonts w:ascii="Arial" w:hAnsi="Arial"/>
                <w:color w:val="1D2735"/>
                <w:sz w:val="16"/>
              </w:rPr>
              <w:t>Кому принадлежит формула/ТЗ после разработки?</w:t>
            </w:r>
          </w:p>
        </w:tc>
      </w:tr>
      <w:tr>
        <w:tc>
          <w:tcPr>
            <w:tcW w:type="dxa" w:w="5227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r>
              <w:rPr>
                <w:rFonts w:ascii="Arial" w:hAnsi="Arial"/>
                <w:color w:val="1D2735"/>
                <w:sz w:val="16"/>
              </w:rPr>
              <w:t>MOQ</w:t>
            </w:r>
          </w:p>
        </w:tc>
        <w:tc>
          <w:tcPr>
            <w:tcW w:type="dxa" w:w="5227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r>
              <w:rPr>
                <w:rFonts w:ascii="Arial" w:hAnsi="Arial"/>
                <w:color w:val="1D2735"/>
                <w:sz w:val="16"/>
              </w:rPr>
              <w:t>Минимальная загрузка производства?</w:t>
            </w:r>
          </w:p>
        </w:tc>
      </w:tr>
      <w:tr>
        <w:tc>
          <w:tcPr>
            <w:tcW w:type="dxa" w:w="5227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  <w:shd w:fill="F8F5F0"/>
          </w:tcPr>
          <w:p>
            <w:r>
              <w:rPr>
                <w:rFonts w:ascii="Arial" w:hAnsi="Arial"/>
                <w:color w:val="1D2735"/>
                <w:sz w:val="16"/>
              </w:rPr>
              <w:t>MOQ</w:t>
            </w:r>
          </w:p>
        </w:tc>
        <w:tc>
          <w:tcPr>
            <w:tcW w:type="dxa" w:w="5227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  <w:shd w:fill="F8F5F0"/>
          </w:tcPr>
          <w:p>
            <w:r>
              <w:rPr>
                <w:rFonts w:ascii="Arial" w:hAnsi="Arial"/>
                <w:color w:val="1D2735"/>
                <w:sz w:val="16"/>
              </w:rPr>
              <w:t>Минимум сырья и критичных компонентов?</w:t>
            </w:r>
          </w:p>
        </w:tc>
      </w:tr>
      <w:tr>
        <w:tc>
          <w:tcPr>
            <w:tcW w:type="dxa" w:w="5227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r>
              <w:rPr>
                <w:rFonts w:ascii="Arial" w:hAnsi="Arial"/>
                <w:color w:val="1D2735"/>
                <w:sz w:val="16"/>
              </w:rPr>
              <w:t>MOQ</w:t>
            </w:r>
          </w:p>
        </w:tc>
        <w:tc>
          <w:tcPr>
            <w:tcW w:type="dxa" w:w="5227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r>
              <w:rPr>
                <w:rFonts w:ascii="Arial" w:hAnsi="Arial"/>
                <w:color w:val="1D2735"/>
                <w:sz w:val="16"/>
              </w:rPr>
              <w:t>MOQ стандартной и кастомной тары?</w:t>
            </w:r>
          </w:p>
        </w:tc>
      </w:tr>
      <w:tr>
        <w:tc>
          <w:tcPr>
            <w:tcW w:type="dxa" w:w="5227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  <w:shd w:fill="F8F5F0"/>
          </w:tcPr>
          <w:p>
            <w:r>
              <w:rPr>
                <w:rFonts w:ascii="Arial" w:hAnsi="Arial"/>
                <w:color w:val="1D2735"/>
                <w:sz w:val="16"/>
              </w:rPr>
              <w:t>MOQ</w:t>
            </w:r>
          </w:p>
        </w:tc>
        <w:tc>
          <w:tcPr>
            <w:tcW w:type="dxa" w:w="5227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  <w:shd w:fill="F8F5F0"/>
          </w:tcPr>
          <w:p>
            <w:r>
              <w:rPr>
                <w:rFonts w:ascii="Arial" w:hAnsi="Arial"/>
                <w:color w:val="1D2735"/>
                <w:sz w:val="16"/>
              </w:rPr>
              <w:t>MOQ этикетки, короба и вкладыша?</w:t>
            </w:r>
          </w:p>
        </w:tc>
      </w:tr>
      <w:tr>
        <w:tc>
          <w:tcPr>
            <w:tcW w:type="dxa" w:w="5227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r>
              <w:rPr>
                <w:rFonts w:ascii="Arial" w:hAnsi="Arial"/>
                <w:color w:val="1D2735"/>
                <w:sz w:val="16"/>
              </w:rPr>
              <w:t>MOQ</w:t>
            </w:r>
          </w:p>
        </w:tc>
        <w:tc>
          <w:tcPr>
            <w:tcW w:type="dxa" w:w="5227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r>
              <w:rPr>
                <w:rFonts w:ascii="Arial" w:hAnsi="Arial"/>
                <w:color w:val="1D2735"/>
                <w:sz w:val="16"/>
              </w:rPr>
              <w:t>Кто владеет остатками упаковки?</w:t>
            </w:r>
          </w:p>
        </w:tc>
      </w:tr>
      <w:tr>
        <w:tc>
          <w:tcPr>
            <w:tcW w:type="dxa" w:w="5227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  <w:shd w:fill="F8F5F0"/>
          </w:tcPr>
          <w:p>
            <w:r>
              <w:rPr>
                <w:rFonts w:ascii="Arial" w:hAnsi="Arial"/>
                <w:color w:val="1D2735"/>
                <w:sz w:val="16"/>
              </w:rPr>
              <w:t>Цена</w:t>
            </w:r>
          </w:p>
        </w:tc>
        <w:tc>
          <w:tcPr>
            <w:tcW w:type="dxa" w:w="5227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  <w:shd w:fill="F8F5F0"/>
          </w:tcPr>
          <w:p>
            <w:r>
              <w:rPr>
                <w:rFonts w:ascii="Arial" w:hAnsi="Arial"/>
                <w:color w:val="1D2735"/>
                <w:sz w:val="16"/>
              </w:rPr>
              <w:t>Что входит в цену единицы?</w:t>
            </w:r>
          </w:p>
        </w:tc>
      </w:tr>
      <w:tr>
        <w:tc>
          <w:tcPr>
            <w:tcW w:type="dxa" w:w="5227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r>
              <w:rPr>
                <w:rFonts w:ascii="Arial" w:hAnsi="Arial"/>
                <w:color w:val="1D2735"/>
                <w:sz w:val="16"/>
              </w:rPr>
              <w:t>Цена</w:t>
            </w:r>
          </w:p>
        </w:tc>
        <w:tc>
          <w:tcPr>
            <w:tcW w:type="dxa" w:w="5227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r>
              <w:rPr>
                <w:rFonts w:ascii="Arial" w:hAnsi="Arial"/>
                <w:color w:val="1D2735"/>
                <w:sz w:val="16"/>
              </w:rPr>
              <w:t>Цена при 1x, 2x и 5x MOQ?</w:t>
            </w:r>
          </w:p>
        </w:tc>
      </w:tr>
      <w:tr>
        <w:tc>
          <w:tcPr>
            <w:tcW w:type="dxa" w:w="5227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  <w:shd w:fill="F8F5F0"/>
          </w:tcPr>
          <w:p>
            <w:r>
              <w:rPr>
                <w:rFonts w:ascii="Arial" w:hAnsi="Arial"/>
                <w:color w:val="1D2735"/>
                <w:sz w:val="16"/>
              </w:rPr>
              <w:t>Цена</w:t>
            </w:r>
          </w:p>
        </w:tc>
        <w:tc>
          <w:tcPr>
            <w:tcW w:type="dxa" w:w="5227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  <w:shd w:fill="F8F5F0"/>
          </w:tcPr>
          <w:p>
            <w:r>
              <w:rPr>
                <w:rFonts w:ascii="Arial" w:hAnsi="Arial"/>
                <w:color w:val="1D2735"/>
                <w:sz w:val="16"/>
              </w:rPr>
              <w:t>Когда и как пересматривается цена?</w:t>
            </w:r>
          </w:p>
        </w:tc>
      </w:tr>
      <w:tr>
        <w:tc>
          <w:tcPr>
            <w:tcW w:type="dxa" w:w="5227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r>
              <w:rPr>
                <w:rFonts w:ascii="Arial" w:hAnsi="Arial"/>
                <w:color w:val="1D2735"/>
                <w:sz w:val="16"/>
              </w:rPr>
              <w:t>Оплата</w:t>
            </w:r>
          </w:p>
        </w:tc>
        <w:tc>
          <w:tcPr>
            <w:tcW w:type="dxa" w:w="5227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r>
              <w:rPr>
                <w:rFonts w:ascii="Arial" w:hAnsi="Arial"/>
                <w:color w:val="1D2735"/>
                <w:sz w:val="16"/>
              </w:rPr>
              <w:t>Предоплата, остаток, отсрочка?</w:t>
            </w:r>
          </w:p>
        </w:tc>
      </w:tr>
      <w:tr>
        <w:tc>
          <w:tcPr>
            <w:tcW w:type="dxa" w:w="5227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  <w:shd w:fill="F8F5F0"/>
          </w:tcPr>
          <w:p>
            <w:r>
              <w:rPr>
                <w:rFonts w:ascii="Arial" w:hAnsi="Arial"/>
                <w:color w:val="1D2735"/>
                <w:sz w:val="16"/>
              </w:rPr>
              <w:t>Срок</w:t>
            </w:r>
          </w:p>
        </w:tc>
        <w:tc>
          <w:tcPr>
            <w:tcW w:type="dxa" w:w="5227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  <w:shd w:fill="F8F5F0"/>
          </w:tcPr>
          <w:p>
            <w:r>
              <w:rPr>
                <w:rFonts w:ascii="Arial" w:hAnsi="Arial"/>
                <w:color w:val="1D2735"/>
                <w:sz w:val="16"/>
              </w:rPr>
              <w:t>Lead time от оплаты до готовности?</w:t>
            </w:r>
          </w:p>
        </w:tc>
      </w:tr>
      <w:tr>
        <w:tc>
          <w:tcPr>
            <w:tcW w:type="dxa" w:w="5227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r>
              <w:rPr>
                <w:rFonts w:ascii="Arial" w:hAnsi="Arial"/>
                <w:color w:val="1D2735"/>
                <w:sz w:val="16"/>
              </w:rPr>
              <w:t>Срок</w:t>
            </w:r>
          </w:p>
        </w:tc>
        <w:tc>
          <w:tcPr>
            <w:tcW w:type="dxa" w:w="5227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r>
              <w:rPr>
                <w:rFonts w:ascii="Arial" w:hAnsi="Arial"/>
                <w:color w:val="1D2735"/>
                <w:sz w:val="16"/>
              </w:rPr>
              <w:t>Какие компоненты имеют длинное плечо?</w:t>
            </w:r>
          </w:p>
        </w:tc>
      </w:tr>
      <w:tr>
        <w:tc>
          <w:tcPr>
            <w:tcW w:type="dxa" w:w="5227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  <w:shd w:fill="F8F5F0"/>
          </w:tcPr>
          <w:p>
            <w:r>
              <w:rPr>
                <w:rFonts w:ascii="Arial" w:hAnsi="Arial"/>
                <w:color w:val="1D2735"/>
                <w:sz w:val="16"/>
              </w:rPr>
              <w:t>Качество</w:t>
            </w:r>
          </w:p>
        </w:tc>
        <w:tc>
          <w:tcPr>
            <w:tcW w:type="dxa" w:w="5227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  <w:shd w:fill="F8F5F0"/>
          </w:tcPr>
          <w:p>
            <w:r>
              <w:rPr>
                <w:rFonts w:ascii="Arial" w:hAnsi="Arial"/>
                <w:color w:val="1D2735"/>
                <w:sz w:val="16"/>
              </w:rPr>
              <w:t>Какие параметры входят в спецификацию?</w:t>
            </w:r>
          </w:p>
        </w:tc>
      </w:tr>
      <w:tr>
        <w:tc>
          <w:tcPr>
            <w:tcW w:type="dxa" w:w="5227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r>
              <w:rPr>
                <w:rFonts w:ascii="Arial" w:hAnsi="Arial"/>
                <w:color w:val="1D2735"/>
                <w:sz w:val="16"/>
              </w:rPr>
              <w:t>Качество</w:t>
            </w:r>
          </w:p>
        </w:tc>
        <w:tc>
          <w:tcPr>
            <w:tcW w:type="dxa" w:w="5227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r>
              <w:rPr>
                <w:rFonts w:ascii="Arial" w:hAnsi="Arial"/>
                <w:color w:val="1D2735"/>
                <w:sz w:val="16"/>
              </w:rPr>
              <w:t>Какой образец становится эталоном?</w:t>
            </w:r>
          </w:p>
        </w:tc>
      </w:tr>
      <w:tr>
        <w:tc>
          <w:tcPr>
            <w:tcW w:type="dxa" w:w="5227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  <w:shd w:fill="F8F5F0"/>
          </w:tcPr>
          <w:p>
            <w:r>
              <w:rPr>
                <w:rFonts w:ascii="Arial" w:hAnsi="Arial"/>
                <w:color w:val="1D2735"/>
                <w:sz w:val="16"/>
              </w:rPr>
              <w:t>Качество</w:t>
            </w:r>
          </w:p>
        </w:tc>
        <w:tc>
          <w:tcPr>
            <w:tcW w:type="dxa" w:w="5227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  <w:shd w:fill="F8F5F0"/>
          </w:tcPr>
          <w:p>
            <w:r>
              <w:rPr>
                <w:rFonts w:ascii="Arial" w:hAnsi="Arial"/>
                <w:color w:val="1D2735"/>
                <w:sz w:val="16"/>
              </w:rPr>
              <w:t>Как проходит выходной контроль?</w:t>
            </w:r>
          </w:p>
        </w:tc>
      </w:tr>
      <w:tr>
        <w:tc>
          <w:tcPr>
            <w:tcW w:type="dxa" w:w="5227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r>
              <w:rPr>
                <w:rFonts w:ascii="Arial" w:hAnsi="Arial"/>
                <w:color w:val="1D2735"/>
                <w:sz w:val="16"/>
              </w:rPr>
              <w:t>Качество</w:t>
            </w:r>
          </w:p>
        </w:tc>
        <w:tc>
          <w:tcPr>
            <w:tcW w:type="dxa" w:w="5227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r>
              <w:rPr>
                <w:rFonts w:ascii="Arial" w:hAnsi="Arial"/>
                <w:color w:val="1D2735"/>
                <w:sz w:val="16"/>
              </w:rPr>
              <w:t>Можно ли привлечь третью лабораторию?</w:t>
            </w:r>
          </w:p>
        </w:tc>
      </w:tr>
      <w:tr>
        <w:tc>
          <w:tcPr>
            <w:tcW w:type="dxa" w:w="5227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  <w:shd w:fill="F8F5F0"/>
          </w:tcPr>
          <w:p>
            <w:r>
              <w:rPr>
                <w:rFonts w:ascii="Arial" w:hAnsi="Arial"/>
                <w:color w:val="1D2735"/>
                <w:sz w:val="16"/>
              </w:rPr>
              <w:t>Качество</w:t>
            </w:r>
          </w:p>
        </w:tc>
        <w:tc>
          <w:tcPr>
            <w:tcW w:type="dxa" w:w="5227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  <w:shd w:fill="F8F5F0"/>
          </w:tcPr>
          <w:p>
            <w:r>
              <w:rPr>
                <w:rFonts w:ascii="Arial" w:hAnsi="Arial"/>
                <w:color w:val="1D2735"/>
                <w:sz w:val="16"/>
              </w:rPr>
              <w:t>Как идентифицируется партия?</w:t>
            </w:r>
          </w:p>
        </w:tc>
      </w:tr>
      <w:tr>
        <w:tc>
          <w:tcPr>
            <w:tcW w:type="dxa" w:w="5227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r>
              <w:rPr>
                <w:rFonts w:ascii="Arial" w:hAnsi="Arial"/>
                <w:color w:val="1D2735"/>
                <w:sz w:val="16"/>
              </w:rPr>
              <w:t>Изменения</w:t>
            </w:r>
          </w:p>
        </w:tc>
        <w:tc>
          <w:tcPr>
            <w:tcW w:type="dxa" w:w="5227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r>
              <w:rPr>
                <w:rFonts w:ascii="Arial" w:hAnsi="Arial"/>
                <w:color w:val="1D2735"/>
                <w:sz w:val="16"/>
              </w:rPr>
              <w:t>Можно ли менять сырьё/тару без письменного согласия?</w:t>
            </w:r>
          </w:p>
        </w:tc>
      </w:tr>
      <w:tr>
        <w:tc>
          <w:tcPr>
            <w:tcW w:type="dxa" w:w="5227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  <w:shd w:fill="F8F5F0"/>
          </w:tcPr>
          <w:p>
            <w:r>
              <w:rPr>
                <w:rFonts w:ascii="Arial" w:hAnsi="Arial"/>
                <w:color w:val="1D2735"/>
                <w:sz w:val="16"/>
              </w:rPr>
              <w:t>Претензии</w:t>
            </w:r>
          </w:p>
        </w:tc>
        <w:tc>
          <w:tcPr>
            <w:tcW w:type="dxa" w:w="5227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  <w:shd w:fill="F8F5F0"/>
          </w:tcPr>
          <w:p>
            <w:r>
              <w:rPr>
                <w:rFonts w:ascii="Arial" w:hAnsi="Arial"/>
                <w:color w:val="1D2735"/>
                <w:sz w:val="16"/>
              </w:rPr>
              <w:t>Срок расследования и доказательства брака?</w:t>
            </w:r>
          </w:p>
        </w:tc>
      </w:tr>
      <w:tr>
        <w:tc>
          <w:tcPr>
            <w:tcW w:type="dxa" w:w="5227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r>
              <w:rPr>
                <w:rFonts w:ascii="Arial" w:hAnsi="Arial"/>
                <w:color w:val="1D2735"/>
                <w:sz w:val="16"/>
              </w:rPr>
              <w:t>Претензии</w:t>
            </w:r>
          </w:p>
        </w:tc>
        <w:tc>
          <w:tcPr>
            <w:tcW w:type="dxa" w:w="5227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r>
              <w:rPr>
                <w:rFonts w:ascii="Arial" w:hAnsi="Arial"/>
                <w:color w:val="1D2735"/>
                <w:sz w:val="16"/>
              </w:rPr>
              <w:t>Кто оплачивает замену, логистику и отзыв?</w:t>
            </w:r>
          </w:p>
        </w:tc>
      </w:tr>
      <w:tr>
        <w:tc>
          <w:tcPr>
            <w:tcW w:type="dxa" w:w="5227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  <w:shd w:fill="F8F5F0"/>
          </w:tcPr>
          <w:p>
            <w:r>
              <w:rPr>
                <w:rFonts w:ascii="Arial" w:hAnsi="Arial"/>
                <w:color w:val="1D2735"/>
                <w:sz w:val="16"/>
              </w:rPr>
              <w:t>Документы</w:t>
            </w:r>
          </w:p>
        </w:tc>
        <w:tc>
          <w:tcPr>
            <w:tcW w:type="dxa" w:w="5227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  <w:shd w:fill="F8F5F0"/>
          </w:tcPr>
          <w:p>
            <w:r>
              <w:rPr>
                <w:rFonts w:ascii="Arial" w:hAnsi="Arial"/>
                <w:color w:val="1D2735"/>
                <w:sz w:val="16"/>
              </w:rPr>
              <w:t>Какие документы нужны именно SKU?</w:t>
            </w:r>
          </w:p>
        </w:tc>
      </w:tr>
      <w:tr>
        <w:tc>
          <w:tcPr>
            <w:tcW w:type="dxa" w:w="5227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r>
              <w:rPr>
                <w:rFonts w:ascii="Arial" w:hAnsi="Arial"/>
                <w:color w:val="1D2735"/>
                <w:sz w:val="16"/>
              </w:rPr>
              <w:t>Документы</w:t>
            </w:r>
          </w:p>
        </w:tc>
        <w:tc>
          <w:tcPr>
            <w:tcW w:type="dxa" w:w="5227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r>
              <w:rPr>
                <w:rFonts w:ascii="Arial" w:hAnsi="Arial"/>
                <w:color w:val="1D2735"/>
                <w:sz w:val="16"/>
              </w:rPr>
              <w:t>Кто заявитель по документу?</w:t>
            </w:r>
          </w:p>
        </w:tc>
      </w:tr>
      <w:tr>
        <w:tc>
          <w:tcPr>
            <w:tcW w:type="dxa" w:w="5227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  <w:shd w:fill="F8F5F0"/>
          </w:tcPr>
          <w:p>
            <w:r>
              <w:rPr>
                <w:rFonts w:ascii="Arial" w:hAnsi="Arial"/>
                <w:color w:val="1D2735"/>
                <w:sz w:val="16"/>
              </w:rPr>
              <w:t>Маркировка</w:t>
            </w:r>
          </w:p>
        </w:tc>
        <w:tc>
          <w:tcPr>
            <w:tcW w:type="dxa" w:w="5227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  <w:shd w:fill="F8F5F0"/>
          </w:tcPr>
          <w:p>
            <w:r>
              <w:rPr>
                <w:rFonts w:ascii="Arial" w:hAnsi="Arial"/>
                <w:color w:val="1D2735"/>
                <w:sz w:val="16"/>
              </w:rPr>
              <w:t>Нужна ли обязательная маркировка и кто выполняет операции?</w:t>
            </w:r>
          </w:p>
        </w:tc>
      </w:tr>
      <w:tr>
        <w:tc>
          <w:tcPr>
            <w:tcW w:type="dxa" w:w="5227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r>
              <w:rPr>
                <w:rFonts w:ascii="Arial" w:hAnsi="Arial"/>
                <w:color w:val="1D2735"/>
                <w:sz w:val="16"/>
              </w:rPr>
              <w:t>Маркировка</w:t>
            </w:r>
          </w:p>
        </w:tc>
        <w:tc>
          <w:tcPr>
            <w:tcW w:type="dxa" w:w="5227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r>
              <w:rPr>
                <w:rFonts w:ascii="Arial" w:hAnsi="Arial"/>
                <w:color w:val="1D2735"/>
                <w:sz w:val="16"/>
              </w:rPr>
              <w:t>Кто отвечает за GTIN/карточку товара?</w:t>
            </w:r>
          </w:p>
        </w:tc>
      </w:tr>
      <w:tr>
        <w:tc>
          <w:tcPr>
            <w:tcW w:type="dxa" w:w="5227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  <w:shd w:fill="F8F5F0"/>
          </w:tcPr>
          <w:p>
            <w:r>
              <w:rPr>
                <w:rFonts w:ascii="Arial" w:hAnsi="Arial"/>
                <w:color w:val="1D2735"/>
                <w:sz w:val="16"/>
              </w:rPr>
              <w:t>IP</w:t>
            </w:r>
          </w:p>
        </w:tc>
        <w:tc>
          <w:tcPr>
            <w:tcW w:type="dxa" w:w="5227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  <w:shd w:fill="F8F5F0"/>
          </w:tcPr>
          <w:p>
            <w:r>
              <w:rPr>
                <w:rFonts w:ascii="Arial" w:hAnsi="Arial"/>
                <w:color w:val="1D2735"/>
                <w:sz w:val="16"/>
              </w:rPr>
              <w:t>Возможен ли эксклюзив по формуле/упаковке/каналу?</w:t>
            </w:r>
          </w:p>
        </w:tc>
      </w:tr>
      <w:tr>
        <w:tc>
          <w:tcPr>
            <w:tcW w:type="dxa" w:w="5227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r>
              <w:rPr>
                <w:rFonts w:ascii="Arial" w:hAnsi="Arial"/>
                <w:color w:val="1D2735"/>
                <w:sz w:val="16"/>
              </w:rPr>
              <w:t>IP</w:t>
            </w:r>
          </w:p>
        </w:tc>
        <w:tc>
          <w:tcPr>
            <w:tcW w:type="dxa" w:w="5227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r>
              <w:rPr>
                <w:rFonts w:ascii="Arial" w:hAnsi="Arial"/>
                <w:color w:val="1D2735"/>
                <w:sz w:val="16"/>
              </w:rPr>
              <w:t>Можно ли запретить использование макетов для других клиентов?</w:t>
            </w:r>
          </w:p>
        </w:tc>
      </w:tr>
      <w:tr>
        <w:tc>
          <w:tcPr>
            <w:tcW w:type="dxa" w:w="5227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  <w:shd w:fill="F8F5F0"/>
          </w:tcPr>
          <w:p>
            <w:r>
              <w:rPr>
                <w:rFonts w:ascii="Arial" w:hAnsi="Arial"/>
                <w:color w:val="1D2735"/>
                <w:sz w:val="16"/>
              </w:rPr>
              <w:t>Логистика</w:t>
            </w:r>
          </w:p>
        </w:tc>
        <w:tc>
          <w:tcPr>
            <w:tcW w:type="dxa" w:w="5227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  <w:shd w:fill="F8F5F0"/>
          </w:tcPr>
          <w:p>
            <w:r>
              <w:rPr>
                <w:rFonts w:ascii="Arial" w:hAnsi="Arial"/>
                <w:color w:val="1D2735"/>
                <w:sz w:val="16"/>
              </w:rPr>
              <w:t>Коробность, паллета, хранение, отгрузка?</w:t>
            </w:r>
          </w:p>
        </w:tc>
      </w:tr>
      <w:tr>
        <w:tc>
          <w:tcPr>
            <w:tcW w:type="dxa" w:w="5227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r>
              <w:rPr>
                <w:rFonts w:ascii="Arial" w:hAnsi="Arial"/>
                <w:color w:val="1D2735"/>
                <w:sz w:val="16"/>
              </w:rPr>
              <w:t>Референсы</w:t>
            </w:r>
          </w:p>
        </w:tc>
        <w:tc>
          <w:tcPr>
            <w:tcW w:type="dxa" w:w="5227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r>
              <w:rPr>
                <w:rFonts w:ascii="Arial" w:hAnsi="Arial"/>
                <w:color w:val="1D2735"/>
                <w:sz w:val="16"/>
              </w:rPr>
              <w:t>2–3 клиента похожего масштаба?</w:t>
            </w:r>
          </w:p>
        </w:tc>
      </w:tr>
      <w:tr>
        <w:tc>
          <w:tcPr>
            <w:tcW w:type="dxa" w:w="5227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  <w:shd w:fill="F8F5F0"/>
          </w:tcPr>
          <w:p>
            <w:r>
              <w:rPr>
                <w:rFonts w:ascii="Arial" w:hAnsi="Arial"/>
                <w:color w:val="1D2735"/>
                <w:sz w:val="16"/>
              </w:rPr>
              <w:t>Непрерывность</w:t>
            </w:r>
          </w:p>
        </w:tc>
        <w:tc>
          <w:tcPr>
            <w:tcW w:type="dxa" w:w="5227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  <w:shd w:fill="F8F5F0"/>
          </w:tcPr>
          <w:p>
            <w:r>
              <w:rPr>
                <w:rFonts w:ascii="Arial" w:hAnsi="Arial"/>
                <w:color w:val="1D2735"/>
                <w:sz w:val="16"/>
              </w:rPr>
              <w:t>Что при остановке линии или дефиците компонента?</w:t>
            </w:r>
          </w:p>
        </w:tc>
      </w:tr>
    </w:tbl>
    <w:p>
      <w:pPr>
        <w:spacing w:after="0"/>
      </w:pPr>
    </w:p>
    <w:p>
      <w:pPr>
        <w:pStyle w:val="Heading1"/>
      </w:pPr>
      <w:r>
        <w:t>3. Scorecard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613"/>
        <w:gridCol w:w="2613"/>
        <w:gridCol w:w="2613"/>
        <w:gridCol w:w="2613"/>
      </w:tblGrid>
      <w:tr>
        <w:tc>
          <w:tcPr>
            <w:tcW w:type="dxa" w:w="2613"/>
            <w:shd w:fill="0E1E35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Критерий</w:t>
            </w:r>
          </w:p>
        </w:tc>
        <w:tc>
          <w:tcPr>
            <w:tcW w:type="dxa" w:w="2613"/>
            <w:shd w:fill="0E1E35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Вес</w:t>
            </w:r>
          </w:p>
        </w:tc>
        <w:tc>
          <w:tcPr>
            <w:tcW w:type="dxa" w:w="2613"/>
            <w:shd w:fill="0E1E35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Балл 0–5</w:t>
            </w:r>
          </w:p>
        </w:tc>
        <w:tc>
          <w:tcPr>
            <w:tcW w:type="dxa" w:w="2613"/>
            <w:shd w:fill="0E1E35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Что проверяем</w:t>
            </w:r>
          </w:p>
        </w:tc>
      </w:tr>
      <w:tr>
        <w:tc>
          <w:tcPr>
            <w:tcW w:type="dxa" w:w="2613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r>
              <w:rPr>
                <w:rFonts w:ascii="Arial" w:hAnsi="Arial"/>
                <w:color w:val="1D2735"/>
                <w:sz w:val="16"/>
              </w:rPr>
              <w:t>Соответствие и прозрачность</w:t>
            </w:r>
          </w:p>
        </w:tc>
        <w:tc>
          <w:tcPr>
            <w:tcW w:type="dxa" w:w="2613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r>
              <w:rPr>
                <w:rFonts w:ascii="Arial" w:hAnsi="Arial"/>
                <w:color w:val="1D2735"/>
                <w:sz w:val="16"/>
              </w:rPr>
              <w:t>20%</w:t>
            </w:r>
          </w:p>
        </w:tc>
        <w:tc>
          <w:tcPr>
            <w:tcW w:type="dxa" w:w="2613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r>
              <w:rPr>
                <w:rFonts w:ascii="Arial" w:hAnsi="Arial"/>
                <w:color w:val="1D2735"/>
                <w:sz w:val="16"/>
              </w:rPr>
            </w:r>
          </w:p>
        </w:tc>
        <w:tc>
          <w:tcPr>
            <w:tcW w:type="dxa" w:w="2613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r>
              <w:rPr>
                <w:rFonts w:ascii="Arial" w:hAnsi="Arial"/>
                <w:color w:val="1D2735"/>
                <w:sz w:val="16"/>
              </w:rPr>
              <w:t>Документы, изготовитель, роли</w:t>
            </w:r>
          </w:p>
        </w:tc>
      </w:tr>
      <w:tr>
        <w:tc>
          <w:tcPr>
            <w:tcW w:type="dxa" w:w="2613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  <w:shd w:fill="F8F5F0"/>
          </w:tcPr>
          <w:p>
            <w:r>
              <w:rPr>
                <w:rFonts w:ascii="Arial" w:hAnsi="Arial"/>
                <w:color w:val="1D2735"/>
                <w:sz w:val="16"/>
              </w:rPr>
              <w:t>Качество и change control</w:t>
            </w:r>
          </w:p>
        </w:tc>
        <w:tc>
          <w:tcPr>
            <w:tcW w:type="dxa" w:w="2613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  <w:shd w:fill="F8F5F0"/>
          </w:tcPr>
          <w:p>
            <w:r>
              <w:rPr>
                <w:rFonts w:ascii="Arial" w:hAnsi="Arial"/>
                <w:color w:val="1D2735"/>
                <w:sz w:val="16"/>
              </w:rPr>
              <w:t>20%</w:t>
            </w:r>
          </w:p>
        </w:tc>
        <w:tc>
          <w:tcPr>
            <w:tcW w:type="dxa" w:w="2613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  <w:shd w:fill="F8F5F0"/>
          </w:tcPr>
          <w:p>
            <w:r>
              <w:rPr>
                <w:rFonts w:ascii="Arial" w:hAnsi="Arial"/>
                <w:color w:val="1D2735"/>
                <w:sz w:val="16"/>
              </w:rPr>
            </w:r>
          </w:p>
        </w:tc>
        <w:tc>
          <w:tcPr>
            <w:tcW w:type="dxa" w:w="2613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  <w:shd w:fill="F8F5F0"/>
          </w:tcPr>
          <w:p>
            <w:r>
              <w:rPr>
                <w:rFonts w:ascii="Arial" w:hAnsi="Arial"/>
                <w:color w:val="1D2735"/>
                <w:sz w:val="16"/>
              </w:rPr>
              <w:t>Спецификация, эталон, партии, претензии</w:t>
            </w:r>
          </w:p>
        </w:tc>
      </w:tr>
      <w:tr>
        <w:tc>
          <w:tcPr>
            <w:tcW w:type="dxa" w:w="2613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r>
              <w:rPr>
                <w:rFonts w:ascii="Arial" w:hAnsi="Arial"/>
                <w:color w:val="1D2735"/>
                <w:sz w:val="16"/>
              </w:rPr>
              <w:t>MOQ и оборотный капитал</w:t>
            </w:r>
          </w:p>
        </w:tc>
        <w:tc>
          <w:tcPr>
            <w:tcW w:type="dxa" w:w="2613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r>
              <w:rPr>
                <w:rFonts w:ascii="Arial" w:hAnsi="Arial"/>
                <w:color w:val="1D2735"/>
                <w:sz w:val="16"/>
              </w:rPr>
              <w:t>15%</w:t>
            </w:r>
          </w:p>
        </w:tc>
        <w:tc>
          <w:tcPr>
            <w:tcW w:type="dxa" w:w="2613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r>
              <w:rPr>
                <w:rFonts w:ascii="Arial" w:hAnsi="Arial"/>
                <w:color w:val="1D2735"/>
                <w:sz w:val="16"/>
              </w:rPr>
            </w:r>
          </w:p>
        </w:tc>
        <w:tc>
          <w:tcPr>
            <w:tcW w:type="dxa" w:w="2613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r>
              <w:rPr>
                <w:rFonts w:ascii="Arial" w:hAnsi="Arial"/>
                <w:color w:val="1D2735"/>
                <w:sz w:val="16"/>
              </w:rPr>
              <w:t>Effective MOQ и остатки упаковки</w:t>
            </w:r>
          </w:p>
        </w:tc>
      </w:tr>
      <w:tr>
        <w:tc>
          <w:tcPr>
            <w:tcW w:type="dxa" w:w="2613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  <w:shd w:fill="F8F5F0"/>
          </w:tcPr>
          <w:p>
            <w:r>
              <w:rPr>
                <w:rFonts w:ascii="Arial" w:hAnsi="Arial"/>
                <w:color w:val="1D2735"/>
                <w:sz w:val="16"/>
              </w:rPr>
              <w:t>Полная себестоимость</w:t>
            </w:r>
          </w:p>
        </w:tc>
        <w:tc>
          <w:tcPr>
            <w:tcW w:type="dxa" w:w="2613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  <w:shd w:fill="F8F5F0"/>
          </w:tcPr>
          <w:p>
            <w:r>
              <w:rPr>
                <w:rFonts w:ascii="Arial" w:hAnsi="Arial"/>
                <w:color w:val="1D2735"/>
                <w:sz w:val="16"/>
              </w:rPr>
              <w:t>15%</w:t>
            </w:r>
          </w:p>
        </w:tc>
        <w:tc>
          <w:tcPr>
            <w:tcW w:type="dxa" w:w="2613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  <w:shd w:fill="F8F5F0"/>
          </w:tcPr>
          <w:p>
            <w:r>
              <w:rPr>
                <w:rFonts w:ascii="Arial" w:hAnsi="Arial"/>
                <w:color w:val="1D2735"/>
                <w:sz w:val="16"/>
              </w:rPr>
            </w:r>
          </w:p>
        </w:tc>
        <w:tc>
          <w:tcPr>
            <w:tcW w:type="dxa" w:w="2613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  <w:shd w:fill="F8F5F0"/>
          </w:tcPr>
          <w:p>
            <w:r>
              <w:rPr>
                <w:rFonts w:ascii="Arial" w:hAnsi="Arial"/>
                <w:color w:val="1D2735"/>
                <w:sz w:val="16"/>
              </w:rPr>
              <w:t>Цена + скрытые one-off/логистика</w:t>
            </w:r>
          </w:p>
        </w:tc>
      </w:tr>
      <w:tr>
        <w:tc>
          <w:tcPr>
            <w:tcW w:type="dxa" w:w="2613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r>
              <w:rPr>
                <w:rFonts w:ascii="Arial" w:hAnsi="Arial"/>
                <w:color w:val="1D2735"/>
                <w:sz w:val="16"/>
              </w:rPr>
              <w:t>Срок и надёжность</w:t>
            </w:r>
          </w:p>
        </w:tc>
        <w:tc>
          <w:tcPr>
            <w:tcW w:type="dxa" w:w="2613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r>
              <w:rPr>
                <w:rFonts w:ascii="Arial" w:hAnsi="Arial"/>
                <w:color w:val="1D2735"/>
                <w:sz w:val="16"/>
              </w:rPr>
              <w:t>10%</w:t>
            </w:r>
          </w:p>
        </w:tc>
        <w:tc>
          <w:tcPr>
            <w:tcW w:type="dxa" w:w="2613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r>
              <w:rPr>
                <w:rFonts w:ascii="Arial" w:hAnsi="Arial"/>
                <w:color w:val="1D2735"/>
                <w:sz w:val="16"/>
              </w:rPr>
            </w:r>
          </w:p>
        </w:tc>
        <w:tc>
          <w:tcPr>
            <w:tcW w:type="dxa" w:w="2613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r>
              <w:rPr>
                <w:rFonts w:ascii="Arial" w:hAnsi="Arial"/>
                <w:color w:val="1D2735"/>
                <w:sz w:val="16"/>
              </w:rPr>
              <w:t>Lead time, OTIF, резерв</w:t>
            </w:r>
          </w:p>
        </w:tc>
      </w:tr>
      <w:tr>
        <w:tc>
          <w:tcPr>
            <w:tcW w:type="dxa" w:w="2613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  <w:shd w:fill="F8F5F0"/>
          </w:tcPr>
          <w:p>
            <w:r>
              <w:rPr>
                <w:rFonts w:ascii="Arial" w:hAnsi="Arial"/>
                <w:color w:val="1D2735"/>
                <w:sz w:val="16"/>
              </w:rPr>
              <w:t>IP и эксклюзив</w:t>
            </w:r>
          </w:p>
        </w:tc>
        <w:tc>
          <w:tcPr>
            <w:tcW w:type="dxa" w:w="2613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  <w:shd w:fill="F8F5F0"/>
          </w:tcPr>
          <w:p>
            <w:r>
              <w:rPr>
                <w:rFonts w:ascii="Arial" w:hAnsi="Arial"/>
                <w:color w:val="1D2735"/>
                <w:sz w:val="16"/>
              </w:rPr>
              <w:t>10%</w:t>
            </w:r>
          </w:p>
        </w:tc>
        <w:tc>
          <w:tcPr>
            <w:tcW w:type="dxa" w:w="2613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  <w:shd w:fill="F8F5F0"/>
          </w:tcPr>
          <w:p>
            <w:r>
              <w:rPr>
                <w:rFonts w:ascii="Arial" w:hAnsi="Arial"/>
                <w:color w:val="1D2735"/>
                <w:sz w:val="16"/>
              </w:rPr>
            </w:r>
          </w:p>
        </w:tc>
        <w:tc>
          <w:tcPr>
            <w:tcW w:type="dxa" w:w="2613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  <w:shd w:fill="F8F5F0"/>
          </w:tcPr>
          <w:p>
            <w:r>
              <w:rPr>
                <w:rFonts w:ascii="Arial" w:hAnsi="Arial"/>
                <w:color w:val="1D2735"/>
                <w:sz w:val="16"/>
              </w:rPr>
              <w:t>Формула, дизайн, ограничения</w:t>
            </w:r>
          </w:p>
        </w:tc>
      </w:tr>
      <w:tr>
        <w:tc>
          <w:tcPr>
            <w:tcW w:type="dxa" w:w="2613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r>
              <w:rPr>
                <w:rFonts w:ascii="Arial" w:hAnsi="Arial"/>
                <w:color w:val="1D2735"/>
                <w:sz w:val="16"/>
              </w:rPr>
              <w:t>Упаковка и маркировка</w:t>
            </w:r>
          </w:p>
        </w:tc>
        <w:tc>
          <w:tcPr>
            <w:tcW w:type="dxa" w:w="2613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r>
              <w:rPr>
                <w:rFonts w:ascii="Arial" w:hAnsi="Arial"/>
                <w:color w:val="1D2735"/>
                <w:sz w:val="16"/>
              </w:rPr>
              <w:t>5%</w:t>
            </w:r>
          </w:p>
        </w:tc>
        <w:tc>
          <w:tcPr>
            <w:tcW w:type="dxa" w:w="2613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r>
              <w:rPr>
                <w:rFonts w:ascii="Arial" w:hAnsi="Arial"/>
                <w:color w:val="1D2735"/>
                <w:sz w:val="16"/>
              </w:rPr>
            </w:r>
          </w:p>
        </w:tc>
        <w:tc>
          <w:tcPr>
            <w:tcW w:type="dxa" w:w="2613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</w:tcPr>
          <w:p>
            <w:r>
              <w:rPr>
                <w:rFonts w:ascii="Arial" w:hAnsi="Arial"/>
                <w:color w:val="1D2735"/>
                <w:sz w:val="16"/>
              </w:rPr>
              <w:t>GTIN, печать, коды</w:t>
            </w:r>
          </w:p>
        </w:tc>
      </w:tr>
      <w:tr>
        <w:tc>
          <w:tcPr>
            <w:tcW w:type="dxa" w:w="2613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  <w:shd w:fill="F8F5F0"/>
          </w:tcPr>
          <w:p>
            <w:r>
              <w:rPr>
                <w:rFonts w:ascii="Arial" w:hAnsi="Arial"/>
                <w:color w:val="1D2735"/>
                <w:sz w:val="16"/>
              </w:rPr>
              <w:t>Референсы/устойчивость</w:t>
            </w:r>
          </w:p>
        </w:tc>
        <w:tc>
          <w:tcPr>
            <w:tcW w:type="dxa" w:w="2613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  <w:shd w:fill="F8F5F0"/>
          </w:tcPr>
          <w:p>
            <w:r>
              <w:rPr>
                <w:rFonts w:ascii="Arial" w:hAnsi="Arial"/>
                <w:color w:val="1D2735"/>
                <w:sz w:val="16"/>
              </w:rPr>
              <w:t>5%</w:t>
            </w:r>
          </w:p>
        </w:tc>
        <w:tc>
          <w:tcPr>
            <w:tcW w:type="dxa" w:w="2613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  <w:shd w:fill="F8F5F0"/>
          </w:tcPr>
          <w:p>
            <w:r>
              <w:rPr>
                <w:rFonts w:ascii="Arial" w:hAnsi="Arial"/>
                <w:color w:val="1D2735"/>
                <w:sz w:val="16"/>
              </w:rPr>
            </w:r>
          </w:p>
        </w:tc>
        <w:tc>
          <w:tcPr>
            <w:tcW w:type="dxa" w:w="2613"/>
            <w:tcMar>
              <w:top w:w="85" w:type="dxa"/>
              <w:start w:w="85" w:type="dxa"/>
              <w:bottom w:w="85" w:type="dxa"/>
              <w:end w:w="85" w:type="dxa"/>
            </w:tcMar>
            <w:vAlign w:val="center"/>
            <w:shd w:fill="F8F5F0"/>
          </w:tcPr>
          <w:p>
            <w:r>
              <w:rPr>
                <w:rFonts w:ascii="Arial" w:hAnsi="Arial"/>
                <w:color w:val="1D2735"/>
                <w:sz w:val="16"/>
              </w:rPr>
              <w:t>Проверяемые клиенты и история</w:t>
            </w:r>
          </w:p>
        </w:tc>
      </w:tr>
    </w:tbl>
    <w:p>
      <w:pPr>
        <w:spacing w:after="0"/>
      </w:pPr>
    </w:p>
    <w:p>
      <w:r>
        <w:t>Сценарный gate: 75+ — можно переходить к пилотной партии; 60–74 — только после закрытия жёлтых рисков; &lt;60 — не размещать крупную предоплату. Критический стоп по соответствию, прослеживаемости или праву менять спецификацию блокирует запуск независимо от суммы.</w:t>
      </w:r>
    </w:p>
    <w:p>
      <w:pPr>
        <w:pStyle w:val="Heading1"/>
      </w:pPr>
      <w:r>
        <w:t>4. Что закрепить в договоре</w:t>
      </w:r>
    </w:p>
    <w:p>
      <w:pPr>
        <w:pStyle w:val="ListBullet"/>
      </w:pPr>
      <w:r>
        <w:t>Спецификация SKU и версия.</w:t>
      </w:r>
    </w:p>
    <w:p>
      <w:pPr>
        <w:pStyle w:val="ListBullet"/>
      </w:pPr>
      <w:r>
        <w:t>Эталонный образец.</w:t>
      </w:r>
    </w:p>
    <w:p>
      <w:pPr>
        <w:pStyle w:val="ListBullet"/>
      </w:pPr>
      <w:r>
        <w:t>Состав цены и MOQ компонентов.</w:t>
      </w:r>
    </w:p>
    <w:p>
      <w:pPr>
        <w:pStyle w:val="ListBullet"/>
      </w:pPr>
      <w:r>
        <w:t>Право собственности на остатки тары/сырья.</w:t>
      </w:r>
    </w:p>
    <w:p>
      <w:pPr>
        <w:pStyle w:val="ListBullet"/>
      </w:pPr>
      <w:r>
        <w:t>Сроки, этапы оплаты, изменение цены.</w:t>
      </w:r>
    </w:p>
    <w:p>
      <w:pPr>
        <w:pStyle w:val="ListBullet"/>
      </w:pPr>
      <w:r>
        <w:t>Change control.</w:t>
      </w:r>
    </w:p>
    <w:p>
      <w:pPr>
        <w:pStyle w:val="ListBullet"/>
      </w:pPr>
      <w:r>
        <w:t>Приёмка и допустимый брак.</w:t>
      </w:r>
    </w:p>
    <w:p>
      <w:pPr>
        <w:pStyle w:val="ListBullet"/>
      </w:pPr>
      <w:r>
        <w:t>Претензии, экспертиза, замена, отзыв.</w:t>
      </w:r>
    </w:p>
    <w:p>
      <w:pPr>
        <w:pStyle w:val="ListBullet"/>
      </w:pPr>
      <w:r>
        <w:t>Права на бренд, макеты, формулу/ТЗ, эксклюзив.</w:t>
      </w:r>
    </w:p>
    <w:p>
      <w:pPr>
        <w:pStyle w:val="ListBullet"/>
      </w:pPr>
      <w:r>
        <w:t>Условия выхода и передача остатков/исходников.</w:t>
      </w:r>
    </w:p>
    <w:p>
      <w:pPr>
        <w:pStyle w:val="Heading1"/>
        <w:keepNext/>
        <w:spacing w:before="100" w:after="40"/>
      </w:pPr>
      <w:r>
        <w:rPr>
          <w:sz w:val="26"/>
        </w:rPr>
        <w:t>Источники и границы фактчека</w:t>
      </w:r>
    </w:p>
    <w:p>
      <w:pPr>
        <w:spacing w:before="0" w:after="10" w:line="211" w:lineRule="auto"/>
      </w:pPr>
      <w:r>
        <w:rPr>
          <w:sz w:val="15"/>
        </w:rPr>
        <w:t>Фактчек: 07.09.2026. Публичные MOQ и цены — предложения конкретных производителей, а не среднерыночные нормативы. Требования к соответствию и маркировке зависят от конкретной товарной категории и роли участника цепочки.</w:t>
      </w:r>
    </w:p>
    <w:p>
      <w:pPr>
        <w:pStyle w:val="ListBullet"/>
        <w:spacing w:before="0" w:after="10" w:line="211" w:lineRule="auto"/>
      </w:pPr>
      <w:hyperlink r:id="rId11">
        <w:r>
          <w:rPr>
            <w:color w:val="0563C1"/>
            <w:u w:val="single"/>
          </w:rPr>
          <w:t>Роспатент — актуальная таблица пошлин</w:t>
        </w:r>
      </w:hyperlink>
      <w:r>
        <w:rPr>
          <w:sz w:val="15"/>
        </w:rPr>
        <w:t xml:space="preserve"> — На 07.09.2026: заявка — 4 000 ₽ + доплаты по классам; экспертиза — 13 000 ₽ + доплаты; регистрация и электронное свидетельство — 18 000 ₽ + доплаты.</w:t>
      </w:r>
    </w:p>
    <w:p>
      <w:pPr>
        <w:pStyle w:val="ListBullet"/>
        <w:spacing w:before="0" w:after="10" w:line="211" w:lineRule="auto"/>
      </w:pPr>
      <w:hyperlink r:id="rId12">
        <w:r>
          <w:rPr>
            <w:color w:val="0563C1"/>
            <w:u w:val="single"/>
          </w:rPr>
          <w:t>Закон о защите прав потребителей — статья 10</w:t>
        </w:r>
      </w:hyperlink>
      <w:r>
        <w:rPr>
          <w:sz w:val="15"/>
        </w:rPr>
        <w:t xml:space="preserve"> — Изготовитель, продавец и исполнитель обязаны давать потребителю необходимую и достоверную информацию.</w:t>
      </w:r>
    </w:p>
    <w:p>
      <w:pPr>
        <w:pStyle w:val="ListBullet"/>
        <w:spacing w:before="0" w:after="10" w:line="211" w:lineRule="auto"/>
      </w:pPr>
      <w:hyperlink r:id="rId13">
        <w:r>
          <w:rPr>
            <w:color w:val="0563C1"/>
            <w:u w:val="single"/>
          </w:rPr>
          <w:t>Закон о защите прав потребителей — статья 18</w:t>
        </w:r>
      </w:hyperlink>
      <w:r>
        <w:rPr>
          <w:sz w:val="15"/>
        </w:rPr>
        <w:t xml:space="preserve"> — Ответственность за недостатки товара в предусмотренных законом случаях несут продавец, изготовитель и другие указанные лица.</w:t>
      </w:r>
    </w:p>
    <w:p>
      <w:pPr>
        <w:pStyle w:val="ListBullet"/>
        <w:spacing w:before="0" w:after="10" w:line="211" w:lineRule="auto"/>
      </w:pPr>
      <w:hyperlink r:id="rId14">
        <w:r>
          <w:rPr>
            <w:color w:val="0563C1"/>
            <w:u w:val="single"/>
          </w:rPr>
          <w:t>ТР ТС 022/2011 — маркировка пищевой продукции</w:t>
        </w:r>
      </w:hyperlink>
      <w:r>
        <w:rPr>
          <w:sz w:val="15"/>
        </w:rPr>
        <w:t xml:space="preserve"> — Пример категорийного регулирования: обязательные сведения в маркировке пищевой продукции, включая изготовителя.</w:t>
      </w:r>
    </w:p>
    <w:p>
      <w:pPr>
        <w:pStyle w:val="ListBullet"/>
        <w:spacing w:before="0" w:after="10" w:line="211" w:lineRule="auto"/>
      </w:pPr>
      <w:hyperlink r:id="rId15">
        <w:r>
          <w:rPr>
            <w:color w:val="0563C1"/>
            <w:u w:val="single"/>
          </w:rPr>
          <w:t>Честный ЗНАК — контрактное производство и коды маркировки</w:t>
        </w:r>
      </w:hyperlink>
      <w:r>
        <w:rPr>
          <w:sz w:val="15"/>
        </w:rPr>
        <w:t xml:space="preserve"> — Роли в маркировке зависят от схемы контрактного производства и собственности на сырьё/товар.</w:t>
      </w:r>
    </w:p>
    <w:p>
      <w:pPr>
        <w:pStyle w:val="ListBullet"/>
        <w:spacing w:before="0" w:after="10" w:line="211" w:lineRule="auto"/>
      </w:pPr>
      <w:hyperlink r:id="rId16">
        <w:r>
          <w:rPr>
            <w:color w:val="0563C1"/>
            <w:u w:val="single"/>
          </w:rPr>
          <w:t>BeautyLine — контрактное производство косметики</w:t>
        </w:r>
      </w:hyperlink>
      <w:r>
        <w:rPr>
          <w:sz w:val="15"/>
        </w:rPr>
        <w:t xml:space="preserve"> — Публичный пример: минимальный объём от 200 л; на сайте приведён эквивалент 500 флаконов по 400 мл.</w:t>
      </w:r>
    </w:p>
    <w:p>
      <w:pPr>
        <w:pStyle w:val="ListBullet"/>
        <w:spacing w:before="0" w:after="10" w:line="211" w:lineRule="auto"/>
      </w:pPr>
      <w:hyperlink r:id="rId17">
        <w:r>
          <w:rPr>
            <w:color w:val="0563C1"/>
            <w:u w:val="single"/>
          </w:rPr>
          <w:t>Damalli — косметика под СТМ</w:t>
        </w:r>
      </w:hyperlink>
      <w:r>
        <w:rPr>
          <w:sz w:val="15"/>
        </w:rPr>
        <w:t xml:space="preserve"> — Публичный пример: отдельные позиции от 500 шт.; на странице есть цены по тиражам и включённые операции.</w:t>
      </w:r>
    </w:p>
    <w:p>
      <w:pPr>
        <w:pStyle w:val="ListBullet"/>
        <w:spacing w:before="0" w:after="10" w:line="211" w:lineRule="auto"/>
      </w:pPr>
      <w:hyperlink r:id="rId18">
        <w:r>
          <w:rPr>
            <w:color w:val="0563C1"/>
            <w:u w:val="single"/>
          </w:rPr>
          <w:t>PRIVET LABEL — контрактное производство БАД</w:t>
        </w:r>
      </w:hyperlink>
      <w:r>
        <w:rPr>
          <w:sz w:val="15"/>
        </w:rPr>
        <w:t xml:space="preserve"> — Публичный пример минимальной партии от 300 упаковок.</w:t>
      </w:r>
    </w:p>
    <w:p>
      <w:pPr>
        <w:pStyle w:val="ListBullet"/>
        <w:spacing w:before="0" w:after="10" w:line="211" w:lineRule="auto"/>
      </w:pPr>
      <w:hyperlink r:id="rId19">
        <w:r>
          <w:rPr>
            <w:color w:val="0563C1"/>
            <w:u w:val="single"/>
          </w:rPr>
          <w:t>DEART — бытовая химия под СТМ</w:t>
        </w:r>
      </w:hyperlink>
      <w:r>
        <w:rPr>
          <w:sz w:val="15"/>
        </w:rPr>
        <w:t xml:space="preserve"> — Публичный пример минимального заказа от 1 000 шт.</w:t>
      </w:r>
    </w:p>
    <w:p>
      <w:pPr>
        <w:pStyle w:val="ListBullet"/>
        <w:spacing w:before="0" w:after="10" w:line="211" w:lineRule="auto"/>
      </w:pPr>
      <w:hyperlink r:id="rId20">
        <w:r>
          <w:rPr>
            <w:color w:val="0563C1"/>
            <w:u w:val="single"/>
          </w:rPr>
          <w:t>PBCompany — бытовая химия, контрактное производство</w:t>
        </w:r>
      </w:hyperlink>
      <w:r>
        <w:rPr>
          <w:sz w:val="15"/>
        </w:rPr>
        <w:t xml:space="preserve"> — Публичный пример: MOQ определяется производством и минимальной закупкой комплектующих; описаны 6–10 тыс. флаконов в зависимости от тары.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792" w:right="893" w:bottom="792" w:left="8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697181"/>
        <w:sz w:val="15"/>
      </w:rPr>
      <w:t>Due diligence / матрица  •  фактчек 07.09.2026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rial" w:hAnsi="Arial"/>
        <w:b/>
        <w:color w:val="697181"/>
        <w:sz w:val="15"/>
      </w:rPr>
      <w:t>БИЗНЕС ПОД МИКРОСКОПОМ  •  БИЗНЕС-МОДЕЛИ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4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E1E3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1D2735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E1E35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Lead">
    <w:name w:val="Lead"/>
    <w:pPr>
      <w:spacing w:after="160"/>
    </w:pPr>
    <w:rPr>
      <w:rFonts w:ascii="Arial" w:hAnsi="Arial"/>
      <w:color w:val="697181"/>
      <w:sz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rospatent.gov.ru/ru/activities/dues/table" TargetMode="External"/><Relationship Id="rId12" Type="http://schemas.openxmlformats.org/officeDocument/2006/relationships/hyperlink" Target="https://www.consultant.ru/document/cons_doc_LAW_305/e96b1cbe2a0795305a08c97b1a7f34ddab4ae908/" TargetMode="External"/><Relationship Id="rId13" Type="http://schemas.openxmlformats.org/officeDocument/2006/relationships/hyperlink" Target="https://www.consultant.ru/document/cons_doc_LAW_305/76ae101b731ecc22467fd9f1f14cb9e2b8799026/" TargetMode="External"/><Relationship Id="rId14" Type="http://schemas.openxmlformats.org/officeDocument/2006/relationships/hyperlink" Target="https://www.consultant.ru/document/cons_doc_LAW_124614/6ab20e093bf33afdae0c68aa39dfe35a7958b065/" TargetMode="External"/><Relationship Id="rId15" Type="http://schemas.openxmlformats.org/officeDocument/2006/relationships/hyperlink" Target="https://markirovka.ru/community/rabota-v-natsionalnom-kataloge/nanesenie-kodov-pri-kontraktnom-proizvodstve" TargetMode="External"/><Relationship Id="rId16" Type="http://schemas.openxmlformats.org/officeDocument/2006/relationships/hyperlink" Target="https://beauty-line.pro/" TargetMode="External"/><Relationship Id="rId17" Type="http://schemas.openxmlformats.org/officeDocument/2006/relationships/hyperlink" Target="https://damalli.ru/" TargetMode="External"/><Relationship Id="rId18" Type="http://schemas.openxmlformats.org/officeDocument/2006/relationships/hyperlink" Target="https://privetlabel.ru/" TargetMode="External"/><Relationship Id="rId19" Type="http://schemas.openxmlformats.org/officeDocument/2006/relationships/hyperlink" Target="https://deart-ctm.ru/" TargetMode="External"/><Relationship Id="rId20" Type="http://schemas.openxmlformats.org/officeDocument/2006/relationships/hyperlink" Target="https://pbcompany.ru/kontraktnoe-proizvodstv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