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96B3B"/>
          <w:sz w:val="18"/>
        </w:rPr>
        <w:t>БИЗНЕС-МОДЕЛИ  •  07.09.2026</w:t>
      </w:r>
    </w:p>
    <w:p>
      <w:pPr>
        <w:pStyle w:val="Title"/>
      </w:pPr>
      <w:r>
        <w:t>White label: операционная карта от идеи до повторного заказа</w:t>
      </w:r>
    </w:p>
    <w:p>
      <w:pPr>
        <w:pStyle w:val="Lead"/>
      </w:pPr>
      <w:r>
        <w:t>SOP-логика, роли, контрольные точки и документы для запуска одного SKU.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3EFE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r>
              <w:rPr>
                <w:rFonts w:ascii="Arial" w:hAnsi="Arial"/>
                <w:b/>
                <w:color w:val="0E1E35"/>
                <w:sz w:val="21"/>
              </w:rPr>
              <w:t>Правило процесса</w:t>
              <w:br/>
            </w:r>
            <w:r>
              <w:rPr>
                <w:rFonts w:ascii="Arial" w:hAnsi="Arial"/>
                <w:color w:val="1D2735"/>
                <w:sz w:val="19"/>
              </w:rPr>
              <w:t>Следующий этап открывается только после закрытия предыдущего gate. Не печатать упаковку, платить фабрике и запускать рекламу параллельно до утверждения спецификации и юридического контура.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3"/>
        <w:gridCol w:w="2613"/>
        <w:gridCol w:w="2613"/>
        <w:gridCol w:w="2613"/>
      </w:tblGrid>
      <w:tr>
        <w:tc>
          <w:tcPr>
            <w:tcW w:type="dxa" w:w="2613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Этап</w:t>
            </w:r>
          </w:p>
        </w:tc>
        <w:tc>
          <w:tcPr>
            <w:tcW w:type="dxa" w:w="2613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Владелец</w:t>
            </w:r>
          </w:p>
        </w:tc>
        <w:tc>
          <w:tcPr>
            <w:tcW w:type="dxa" w:w="2613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Контроль</w:t>
            </w:r>
          </w:p>
        </w:tc>
        <w:tc>
          <w:tcPr>
            <w:tcW w:type="dxa" w:w="2613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Результат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0. Brief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Бренд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Проблема клиента, цена, канал, целевая маржа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Product brief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1. Long-list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Бренд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5–10 производителей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Long-list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2. RFQ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Бренд + фабрика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Одинаковая форма запроса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Сопоставимые КП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3. Due diligence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Бренд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Документы, качество, маркировка, IP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Scorecard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4. Samples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Фабрика + бренд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Образцы и тест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Golden sample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5. Compliance map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Бренд + эксперт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ТР, документы, маркировка, GTIN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Checklist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6. Brand/IP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Бренд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Название, знак, дизайн, исходники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Brand pack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7. Spec freeze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Бренд + фабрика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Версия спецификации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Signed spec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8. Pilot PO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Бренд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Минимально достаточная партия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Purchase order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9. Production QC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Фабрика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Выходной контроль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Batch file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10. Incoming QC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Бренд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Выборочная приёмка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QC report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11. Release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Бренд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Допуск в продажу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Release decision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12. Launch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Маркетинг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Цена, карточка, контент, бюджет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Launch plan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13. Daily control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Бренд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Продажи, CAC, возвраты, stock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Dashboard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14. Reorder gate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Бренд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Sell-through, margin, cash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5"/>
              </w:rPr>
              <w:t>REORDER/CHANGE/STOP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15. Claims/CAPA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Бренд + фабрика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Причина дефекта и исправление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5"/>
              </w:rPr>
              <w:t>CAPA log</w:t>
            </w:r>
          </w:p>
        </w:tc>
      </w:tr>
    </w:tbl>
    <w:p>
      <w:pPr>
        <w:spacing w:after="0"/>
      </w:pPr>
    </w:p>
    <w:p>
      <w:pPr>
        <w:pStyle w:val="Heading1"/>
      </w:pPr>
      <w:r>
        <w:t>RACI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c>
          <w:tcPr>
            <w:tcW w:type="dxa" w:w="2091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Решение</w:t>
            </w:r>
          </w:p>
        </w:tc>
        <w:tc>
          <w:tcPr>
            <w:tcW w:type="dxa" w:w="2091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Бренд</w:t>
            </w:r>
          </w:p>
        </w:tc>
        <w:tc>
          <w:tcPr>
            <w:tcW w:type="dxa" w:w="2091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Фабрика</w:t>
            </w:r>
          </w:p>
        </w:tc>
        <w:tc>
          <w:tcPr>
            <w:tcW w:type="dxa" w:w="2091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Эксперт</w:t>
            </w:r>
          </w:p>
        </w:tc>
        <w:tc>
          <w:tcPr>
            <w:tcW w:type="dxa" w:w="2091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Канал</w:t>
            </w:r>
          </w:p>
        </w:tc>
      </w:tr>
      <w:tr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Спецификация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A/R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R/C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C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I</w:t>
            </w:r>
          </w:p>
        </w:tc>
      </w:tr>
      <w:tr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Соответствие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A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C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R/C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I</w:t>
            </w:r>
          </w:p>
        </w:tc>
      </w:tr>
      <w:tr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Качество партии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A/C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R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C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I</w:t>
            </w:r>
          </w:p>
        </w:tc>
      </w:tr>
      <w:tr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Маркировка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A/C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R/C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C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I</w:t>
            </w:r>
          </w:p>
        </w:tc>
      </w:tr>
      <w:tr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Цена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A/R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I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I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C</w:t>
            </w:r>
          </w:p>
        </w:tc>
      </w:tr>
      <w:tr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Претензия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A/R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C/R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C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C</w:t>
            </w:r>
          </w:p>
        </w:tc>
      </w:tr>
      <w:tr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Отзыв партии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A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R/C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C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I</w:t>
            </w:r>
          </w:p>
        </w:tc>
      </w:tr>
    </w:tbl>
    <w:p>
      <w:pPr>
        <w:spacing w:after="0"/>
      </w:pPr>
    </w:p>
    <w:p>
      <w:pPr>
        <w:pStyle w:val="Heading1"/>
      </w:pPr>
      <w:r>
        <w:t>Gate повторного заказа</w:t>
      </w:r>
    </w:p>
    <w:p>
      <w:pPr>
        <w:pStyle w:val="ListBullet"/>
      </w:pPr>
      <w:r>
        <w:t>Sell-through 30/60/90 не хуже плана.</w:t>
      </w:r>
    </w:p>
    <w:p>
      <w:pPr>
        <w:pStyle w:val="ListBullet"/>
      </w:pPr>
      <w:r>
        <w:t>Маржа вклада рассчитана на фактической цене, рекламе и возвратах.</w:t>
      </w:r>
    </w:p>
    <w:p>
      <w:pPr>
        <w:pStyle w:val="ListBullet"/>
      </w:pPr>
      <w:r>
        <w:t>Нет незакрытой системной претензии.</w:t>
      </w:r>
    </w:p>
    <w:p>
      <w:pPr>
        <w:pStyle w:val="ListBullet"/>
      </w:pPr>
      <w:r>
        <w:t>Поставщик не изменил спецификацию/цену/lead time без пересчёта.</w:t>
      </w:r>
    </w:p>
    <w:p>
      <w:pPr>
        <w:pStyle w:val="ListBullet"/>
      </w:pPr>
      <w:r>
        <w:t>После аванса второй партии остаётся минимальный денежный резерв.</w:t>
      </w:r>
    </w:p>
    <w:p>
      <w:pPr>
        <w:pStyle w:val="ListBullet"/>
      </w:pPr>
      <w:r>
        <w:t>Нет мёртвого запаса упаковки, который заставляет продолжать слабый SKU.</w:t>
      </w:r>
    </w:p>
    <w:p>
      <w:pPr>
        <w:pStyle w:val="Heading1"/>
      </w:pPr>
      <w:r>
        <w:t>Журнал партии: минимальные поля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5227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Поле</w:t>
            </w:r>
          </w:p>
        </w:tc>
        <w:tc>
          <w:tcPr>
            <w:tcW w:type="dxa" w:w="5227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Что фиксировать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SKU / версия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WL-001 / spec v1.2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Партия фабрики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LOT / дата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Дата производства / срок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по категории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Количество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факт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Поставщик тары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наименование / партия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Документ соответствия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номер / срок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Маркировка / GTIN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статус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Входной QC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принято / карантин / отклонение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Претензии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количество и причина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CAPA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ссылка на расследование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00" w:after="40"/>
      </w:pPr>
      <w:r>
        <w:rPr>
          <w:sz w:val="26"/>
        </w:rPr>
        <w:t>Источники и границы фактчека</w:t>
      </w:r>
    </w:p>
    <w:p>
      <w:pPr>
        <w:spacing w:before="0" w:after="10" w:line="211" w:lineRule="auto"/>
      </w:pPr>
      <w:r>
        <w:rPr>
          <w:sz w:val="15"/>
        </w:rPr>
        <w:t>Фактчек: 07.09.2026. Публичные MOQ и цены — предложения конкретных производителей, а не среднерыночные нормативы. Требования к соответствию и маркировке зависят от конкретной товарной категории и роли участника цепочки.</w:t>
      </w:r>
    </w:p>
    <w:p>
      <w:pPr>
        <w:pStyle w:val="ListBullet"/>
        <w:spacing w:before="0" w:after="10" w:line="211" w:lineRule="auto"/>
      </w:pPr>
      <w:hyperlink r:id="rId11">
        <w:r>
          <w:rPr>
            <w:color w:val="0563C1"/>
            <w:u w:val="single"/>
          </w:rPr>
          <w:t>Закон о защите прав потребителей — статья 10</w:t>
        </w:r>
      </w:hyperlink>
      <w:r>
        <w:rPr>
          <w:sz w:val="15"/>
        </w:rPr>
        <w:t xml:space="preserve"> — Изготовитель, продавец и исполнитель обязаны давать потребителю необходимую и достоверную информацию.</w:t>
      </w:r>
    </w:p>
    <w:p>
      <w:pPr>
        <w:pStyle w:val="ListBullet"/>
        <w:spacing w:before="0" w:after="10" w:line="211" w:lineRule="auto"/>
      </w:pPr>
      <w:hyperlink r:id="rId12">
        <w:r>
          <w:rPr>
            <w:color w:val="0563C1"/>
            <w:u w:val="single"/>
          </w:rPr>
          <w:t>Закон о защите прав потребителей — статья 18</w:t>
        </w:r>
      </w:hyperlink>
      <w:r>
        <w:rPr>
          <w:sz w:val="15"/>
        </w:rPr>
        <w:t xml:space="preserve"> — Ответственность за недостатки товара в предусмотренных законом случаях несут продавец, изготовитель и другие указанные лица.</w:t>
      </w:r>
    </w:p>
    <w:p>
      <w:pPr>
        <w:pStyle w:val="ListBullet"/>
        <w:spacing w:before="0" w:after="10" w:line="211" w:lineRule="auto"/>
      </w:pPr>
      <w:hyperlink r:id="rId13">
        <w:r>
          <w:rPr>
            <w:color w:val="0563C1"/>
            <w:u w:val="single"/>
          </w:rPr>
          <w:t>ТР ТС 022/2011 — маркировка пищевой продукции</w:t>
        </w:r>
      </w:hyperlink>
      <w:r>
        <w:rPr>
          <w:sz w:val="15"/>
        </w:rPr>
        <w:t xml:space="preserve"> — Пример категорийного регулирования: обязательные сведения в маркировке пищевой продукции, включая изготовителя.</w:t>
      </w:r>
    </w:p>
    <w:p>
      <w:pPr>
        <w:pStyle w:val="ListBullet"/>
        <w:spacing w:before="0" w:after="10" w:line="211" w:lineRule="auto"/>
      </w:pPr>
      <w:hyperlink r:id="rId14">
        <w:r>
          <w:rPr>
            <w:color w:val="0563C1"/>
            <w:u w:val="single"/>
          </w:rPr>
          <w:t>Честный ЗНАК — контрактное производство и коды маркировки</w:t>
        </w:r>
      </w:hyperlink>
      <w:r>
        <w:rPr>
          <w:sz w:val="15"/>
        </w:rPr>
        <w:t xml:space="preserve"> — Роли в маркировке зависят от схемы контрактного производства и собственности на сырьё/товар.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97181"/>
        <w:sz w:val="15"/>
      </w:rPr>
      <w:t>Операционная карта  •  фактчек 07.09.2026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697181"/>
        <w:sz w:val="15"/>
      </w:rPr>
      <w:t>БИЗНЕС ПОД МИКРОСКОПОМ  •  БИЗНЕС-МОДЕЛИ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4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E1E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D273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E1E35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160"/>
    </w:pPr>
    <w:rPr>
      <w:rFonts w:ascii="Arial" w:hAnsi="Arial"/>
      <w:color w:val="697181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consultant.ru/document/cons_doc_LAW_305/e96b1cbe2a0795305a08c97b1a7f34ddab4ae908/" TargetMode="External"/><Relationship Id="rId12" Type="http://schemas.openxmlformats.org/officeDocument/2006/relationships/hyperlink" Target="https://www.consultant.ru/document/cons_doc_LAW_305/76ae101b731ecc22467fd9f1f14cb9e2b8799026/" TargetMode="External"/><Relationship Id="rId13" Type="http://schemas.openxmlformats.org/officeDocument/2006/relationships/hyperlink" Target="https://www.consultant.ru/document/cons_doc_LAW_124614/6ab20e093bf33afdae0c68aa39dfe35a7958b065/" TargetMode="External"/><Relationship Id="rId14" Type="http://schemas.openxmlformats.org/officeDocument/2006/relationships/hyperlink" Target="https://markirovka.ru/community/rabota-v-natsionalnom-kataloge/nanesenie-kodov-pri-kontraktnom-proizvodst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