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C96B3B"/>
          <w:sz w:val="18"/>
        </w:rPr>
        <w:t>БИЗНЕС-МОДЕЛИ  •  07.09.2026</w:t>
      </w:r>
    </w:p>
    <w:p>
      <w:pPr>
        <w:pStyle w:val="Title"/>
      </w:pPr>
      <w:r>
        <w:t>White label: сценарии и 90-дневная проверка</w:t>
      </w:r>
    </w:p>
    <w:p>
      <w:pPr>
        <w:pStyle w:val="Lead"/>
      </w:pPr>
      <w:r>
        <w:t>Три уровня продукта и стресс-тесты, чтобы не усложнять модель раньше доказанного спроса.</w:t>
      </w:r>
    </w:p>
    <w:p>
      <w:pPr>
        <w:pStyle w:val="Heading1"/>
      </w:pPr>
      <w:r>
        <w:t>1. Три уровня модели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91"/>
        <w:gridCol w:w="2091"/>
        <w:gridCol w:w="2091"/>
        <w:gridCol w:w="2091"/>
        <w:gridCol w:w="2091"/>
      </w:tblGrid>
      <w:tr>
        <w:tc>
          <w:tcPr>
            <w:tcW w:type="dxa" w:w="2091"/>
            <w:shd w:fill="0E1E3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Сценарий</w:t>
            </w:r>
          </w:p>
        </w:tc>
        <w:tc>
          <w:tcPr>
            <w:tcW w:type="dxa" w:w="2091"/>
            <w:shd w:fill="0E1E3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Что меняем</w:t>
            </w:r>
          </w:p>
        </w:tc>
        <w:tc>
          <w:tcPr>
            <w:tcW w:type="dxa" w:w="2091"/>
            <w:shd w:fill="0E1E3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Капитал</w:t>
            </w:r>
          </w:p>
        </w:tc>
        <w:tc>
          <w:tcPr>
            <w:tcW w:type="dxa" w:w="2091"/>
            <w:shd w:fill="0E1E3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Когда подходит</w:t>
            </w:r>
          </w:p>
        </w:tc>
        <w:tc>
          <w:tcPr>
            <w:tcW w:type="dxa" w:w="2091"/>
            <w:shd w:fill="0E1E3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Риск</w:t>
            </w:r>
          </w:p>
        </w:tc>
      </w:tr>
      <w:tr>
        <w:tc>
          <w:tcPr>
            <w:tcW w:type="dxa" w:w="2091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A. Чистый white label</w:t>
            </w:r>
          </w:p>
        </w:tc>
        <w:tc>
          <w:tcPr>
            <w:tcW w:type="dxa" w:w="2091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Готовый продукт + стандартная тара + своя этикетка</w:t>
            </w:r>
          </w:p>
        </w:tc>
        <w:tc>
          <w:tcPr>
            <w:tcW w:type="dxa" w:w="2091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Минимальный для категории</w:t>
            </w:r>
          </w:p>
        </w:tc>
        <w:tc>
          <w:tcPr>
            <w:tcW w:type="dxa" w:w="2091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Проверка спроса/канала</w:t>
            </w:r>
          </w:p>
        </w:tc>
        <w:tc>
          <w:tcPr>
            <w:tcW w:type="dxa" w:w="2091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Легко сравнить с копиями</w:t>
            </w:r>
          </w:p>
        </w:tc>
      </w:tr>
      <w:tr>
        <w:tc>
          <w:tcPr>
            <w:tcW w:type="dxa" w:w="2091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B. White label + своя упаковка</w:t>
            </w:r>
          </w:p>
        </w:tc>
        <w:tc>
          <w:tcPr>
            <w:tcW w:type="dxa" w:w="2091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Готовая база + отличимая тара/комплект</w:t>
            </w:r>
          </w:p>
        </w:tc>
        <w:tc>
          <w:tcPr>
            <w:tcW w:type="dxa" w:w="2091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Выше из-за упаковки</w:t>
            </w:r>
          </w:p>
        </w:tc>
        <w:tc>
          <w:tcPr>
            <w:tcW w:type="dxa" w:w="2091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Есть первые продажи</w:t>
            </w:r>
          </w:p>
        </w:tc>
        <w:tc>
          <w:tcPr>
            <w:tcW w:type="dxa" w:w="2091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MOQ упаковки замораживает cash</w:t>
            </w:r>
          </w:p>
        </w:tc>
      </w:tr>
      <w:tr>
        <w:tc>
          <w:tcPr>
            <w:tcW w:type="dxa" w:w="2091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C. Private label / адаптация</w:t>
            </w:r>
          </w:p>
        </w:tc>
        <w:tc>
          <w:tcPr>
            <w:tcW w:type="dxa" w:w="2091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Формула/характеристики/эксклюзив</w:t>
            </w:r>
          </w:p>
        </w:tc>
        <w:tc>
          <w:tcPr>
            <w:tcW w:type="dxa" w:w="2091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Ещё выше + срок</w:t>
            </w:r>
          </w:p>
        </w:tc>
        <w:tc>
          <w:tcPr>
            <w:tcW w:type="dxa" w:w="2091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Повторный спрос доказан</w:t>
            </w:r>
          </w:p>
        </w:tc>
        <w:tc>
          <w:tcPr>
            <w:tcW w:type="dxa" w:w="2091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Разработка усиливает зависимость от фабрики</w:t>
            </w:r>
          </w:p>
        </w:tc>
      </w:tr>
    </w:tbl>
    <w:p>
      <w:pPr>
        <w:spacing w:after="0"/>
      </w:pPr>
    </w:p>
    <w:p>
      <w:pPr>
        <w:pStyle w:val="Heading1"/>
      </w:pPr>
      <w:r>
        <w:t>2. Базовый учебный сценарий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85"/>
        <w:gridCol w:w="3485"/>
        <w:gridCol w:w="3485"/>
      </w:tblGrid>
      <w:tr>
        <w:tc>
          <w:tcPr>
            <w:tcW w:type="dxa" w:w="3485"/>
            <w:shd w:fill="0E1E3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Параметр</w:t>
            </w:r>
          </w:p>
        </w:tc>
        <w:tc>
          <w:tcPr>
            <w:tcW w:type="dxa" w:w="3485"/>
            <w:shd w:fill="0E1E3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Значение</w:t>
            </w:r>
          </w:p>
        </w:tc>
        <w:tc>
          <w:tcPr>
            <w:tcW w:type="dxa" w:w="3485"/>
            <w:shd w:fill="0E1E3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Статус</w:t>
            </w:r>
          </w:p>
        </w:tc>
      </w:tr>
      <w:tr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Цена</w:t>
            </w:r>
          </w:p>
        </w:tc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1 490 ₽</w:t>
            </w:r>
          </w:p>
        </w:tc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Сценарий</w:t>
            </w:r>
          </w:p>
        </w:tc>
      </w:tr>
      <w:tr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Effective MOQ</w:t>
            </w:r>
          </w:p>
        </w:tc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1 000 шт.</w:t>
            </w:r>
          </w:p>
        </w:tc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Сценарий</w:t>
            </w:r>
          </w:p>
        </w:tc>
      </w:tr>
      <w:tr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Продажи</w:t>
            </w:r>
          </w:p>
        </w:tc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500 шт./мес.</w:t>
            </w:r>
          </w:p>
        </w:tc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Сценарий</w:t>
            </w:r>
          </w:p>
        </w:tc>
      </w:tr>
      <w:tr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Производство</w:t>
            </w:r>
          </w:p>
        </w:tc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420 ₽/шт.</w:t>
            </w:r>
          </w:p>
        </w:tc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Сценарий</w:t>
            </w:r>
          </w:p>
        </w:tc>
      </w:tr>
      <w:tr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Упаковка</w:t>
            </w:r>
          </w:p>
        </w:tc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65 ₽/шт.</w:t>
            </w:r>
          </w:p>
        </w:tc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Сценарий</w:t>
            </w:r>
          </w:p>
        </w:tc>
      </w:tr>
      <w:tr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Маржа вклада</w:t>
            </w:r>
          </w:p>
        </w:tc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≈ 18,1%</w:t>
            </w:r>
          </w:p>
        </w:tc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Расчёт</w:t>
            </w:r>
          </w:p>
        </w:tc>
      </w:tr>
      <w:tr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Break-even</w:t>
            </w:r>
          </w:p>
        </w:tc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≈ 261 шт./мес.</w:t>
            </w:r>
          </w:p>
        </w:tc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Расчёт</w:t>
            </w:r>
          </w:p>
        </w:tc>
      </w:tr>
      <w:tr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Опер. результат при 500 шт.</w:t>
            </w:r>
          </w:p>
        </w:tc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≈ 64,5 тыс. ₽/мес.</w:t>
            </w:r>
          </w:p>
        </w:tc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Расчёт</w:t>
            </w:r>
          </w:p>
        </w:tc>
      </w:tr>
      <w:tr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Первичный cash need</w:t>
            </w:r>
          </w:p>
        </w:tc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≈ 0,9–1,0 млн ₽</w:t>
            </w:r>
          </w:p>
        </w:tc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Сценарная оценка</w:t>
            </w:r>
          </w:p>
        </w:tc>
      </w:tr>
    </w:tbl>
    <w:p>
      <w:pPr>
        <w:spacing w:after="0"/>
      </w:pPr>
    </w:p>
    <w:p>
      <w:r>
        <w:t>Все цифры демонстрационные и меняются в XLSX.</w:t>
      </w:r>
    </w:p>
    <w:p>
      <w:pPr>
        <w:pStyle w:val="Heading1"/>
      </w:pPr>
      <w:r>
        <w:t>3. Стресс-сценарии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13"/>
        <w:gridCol w:w="2613"/>
        <w:gridCol w:w="2613"/>
        <w:gridCol w:w="2613"/>
      </w:tblGrid>
      <w:tr>
        <w:tc>
          <w:tcPr>
            <w:tcW w:type="dxa" w:w="2613"/>
            <w:shd w:fill="0E1E3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Шок</w:t>
            </w:r>
          </w:p>
        </w:tc>
        <w:tc>
          <w:tcPr>
            <w:tcW w:type="dxa" w:w="2613"/>
            <w:shd w:fill="0E1E3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Что меняется</w:t>
            </w:r>
          </w:p>
        </w:tc>
        <w:tc>
          <w:tcPr>
            <w:tcW w:type="dxa" w:w="2613"/>
            <w:shd w:fill="0E1E3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Риск</w:t>
            </w:r>
          </w:p>
        </w:tc>
        <w:tc>
          <w:tcPr>
            <w:tcW w:type="dxa" w:w="2613"/>
            <w:shd w:fill="0E1E3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Действие</w:t>
            </w:r>
          </w:p>
        </w:tc>
      </w:tr>
      <w:tr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Спрос −30%</w:t>
            </w:r>
          </w:p>
        </w:tc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350 шт./мес.</w:t>
            </w:r>
          </w:p>
        </w:tc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Запас растёт</w:t>
            </w:r>
          </w:p>
        </w:tc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Остановить reorder, проверить канал/позиционирование</w:t>
            </w:r>
          </w:p>
        </w:tc>
      </w:tr>
      <w:tr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Реклама +50%</w:t>
            </w:r>
          </w:p>
        </w:tc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Реклама 18% вместо 12%</w:t>
            </w:r>
          </w:p>
        </w:tc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Маржа сжимается</w:t>
            </w:r>
          </w:p>
        </w:tc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Искать repeat/organic/цену</w:t>
            </w:r>
          </w:p>
        </w:tc>
      </w:tr>
      <w:tr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Цена −10%</w:t>
            </w:r>
          </w:p>
        </w:tc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1 341 ₽</w:t>
            </w:r>
          </w:p>
        </w:tc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Абсолютный вклад падает</w:t>
            </w:r>
          </w:p>
        </w:tc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Считать скидку на contribution</w:t>
            </w:r>
          </w:p>
        </w:tc>
      </w:tr>
      <w:tr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Брак/возвраты 10%</w:t>
            </w:r>
          </w:p>
        </w:tc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Резерв выше 4%</w:t>
            </w:r>
          </w:p>
        </w:tc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Потери + репутация</w:t>
            </w:r>
          </w:p>
        </w:tc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Карантин, CAPA, компенсация</w:t>
            </w:r>
          </w:p>
        </w:tc>
      </w:tr>
      <w:tr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Lead time +30 дней</w:t>
            </w:r>
          </w:p>
        </w:tc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Нужен больший запас</w:t>
            </w:r>
          </w:p>
        </w:tc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Больше оборотного капитала</w:t>
            </w:r>
          </w:p>
        </w:tc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Новый reorder point / backup</w:t>
            </w:r>
          </w:p>
        </w:tc>
      </w:tr>
    </w:tbl>
    <w:p>
      <w:pPr>
        <w:spacing w:after="0"/>
      </w:pPr>
    </w:p>
    <w:p>
      <w:pPr>
        <w:pStyle w:val="Heading1"/>
      </w:pPr>
      <w:r>
        <w:t>4. 90-дневная проверка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85"/>
        <w:gridCol w:w="3485"/>
        <w:gridCol w:w="3485"/>
      </w:tblGrid>
      <w:tr>
        <w:tc>
          <w:tcPr>
            <w:tcW w:type="dxa" w:w="3485"/>
            <w:shd w:fill="0E1E3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Период</w:t>
            </w:r>
          </w:p>
        </w:tc>
        <w:tc>
          <w:tcPr>
            <w:tcW w:type="dxa" w:w="3485"/>
            <w:shd w:fill="0E1E3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Что доказать</w:t>
            </w:r>
          </w:p>
        </w:tc>
        <w:tc>
          <w:tcPr>
            <w:tcW w:type="dxa" w:w="3485"/>
            <w:shd w:fill="0E1E3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Gate</w:t>
            </w:r>
          </w:p>
        </w:tc>
      </w:tr>
      <w:tr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Дни 1–30</w:t>
            </w:r>
          </w:p>
        </w:tc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Интервью/предзаказы/тест карточки; 3 RFQ; образцы</w:t>
            </w:r>
          </w:p>
        </w:tc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Не печатать custom-упаковку до сравнения MOQ и спроса</w:t>
            </w:r>
          </w:p>
        </w:tc>
      </w:tr>
      <w:tr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Дни 31–60</w:t>
            </w:r>
          </w:p>
        </w:tc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Пилотная партия, фактический CAC, конверсия, возвраты</w:t>
            </w:r>
          </w:p>
        </w:tc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Отрицательная маржа вклада = STOP, а не рост рекламы</w:t>
            </w:r>
          </w:p>
        </w:tc>
      </w:tr>
      <w:tr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Дни 61–90</w:t>
            </w:r>
          </w:p>
        </w:tc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Sell-through, repeat, претензии, cash</w:t>
            </w:r>
          </w:p>
        </w:tc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Reorder только если спрос и деньги позволяют второй цикл</w:t>
            </w:r>
          </w:p>
        </w:tc>
      </w:tr>
    </w:tbl>
    <w:p>
      <w:pPr>
        <w:spacing w:after="0"/>
      </w:pPr>
    </w:p>
    <w:p>
      <w:pPr>
        <w:pStyle w:val="Heading1"/>
      </w:pPr>
      <w:r>
        <w:t>5. Успех пилота</w:t>
      </w:r>
    </w:p>
    <w:p>
      <w:pPr>
        <w:pStyle w:val="ListBullet"/>
      </w:pPr>
      <w:r>
        <w:t>Покупатели берут товар не только при максимальной скидке.</w:t>
      </w:r>
    </w:p>
    <w:p>
      <w:pPr>
        <w:pStyle w:val="ListBullet"/>
      </w:pPr>
      <w:r>
        <w:t>Полная маржа вклада положительна на фактических данных.</w:t>
      </w:r>
    </w:p>
    <w:p>
      <w:pPr>
        <w:pStyle w:val="ListBullet"/>
      </w:pPr>
      <w:r>
        <w:t>Нет системного дефекта/несоответствия партии.</w:t>
      </w:r>
    </w:p>
    <w:p>
      <w:pPr>
        <w:pStyle w:val="ListBullet"/>
      </w:pPr>
      <w:r>
        <w:t>Следующий заказ финансируется без кассового разрыва.</w:t>
      </w:r>
    </w:p>
    <w:p>
      <w:pPr>
        <w:pStyle w:val="ListBullet"/>
      </w:pPr>
      <w:r>
        <w:t>Поставщик соблюдает срок и change control.</w:t>
      </w:r>
    </w:p>
    <w:p>
      <w:pPr>
        <w:pStyle w:val="ListBullet"/>
      </w:pPr>
      <w:r>
        <w:t>Есть механизм защиты от прямой копии: аудитория, эксклюзив, канал, сервис, комплект или данные.</w:t>
      </w:r>
    </w:p>
    <w:p>
      <w:pPr>
        <w:pStyle w:val="Heading1"/>
      </w:pPr>
      <w:r>
        <w:t>Источники и границы фактчека</w:t>
      </w:r>
    </w:p>
    <w:p>
      <w:r>
        <w:t>Фактчек: 07.09.2026. Публичные MOQ и цены — предложения конкретных производителей, а не среднерыночные нормативы. Требования к соответствию и маркировке зависят от конкретной товарной категории и роли участника цепочки.</w:t>
      </w:r>
    </w:p>
    <w:p>
      <w:pPr>
        <w:pStyle w:val="ListBullet"/>
      </w:pPr>
      <w:hyperlink r:id="rId11">
        <w:r>
          <w:rPr>
            <w:color w:val="0563C1"/>
            <w:u w:val="single"/>
          </w:rPr>
          <w:t>Data Insight — «Экосистема электронной торговли 2026»</w:t>
        </w:r>
      </w:hyperlink>
      <w:r>
        <w:t xml:space="preserve"> — Отдельный блок «Работа с брендом и СТМ»: производители, посредники, регистрация марки и сертификация.</w:t>
      </w:r>
    </w:p>
    <w:p>
      <w:pPr>
        <w:pStyle w:val="ListBullet"/>
      </w:pPr>
      <w:hyperlink r:id="rId12">
        <w:r>
          <w:rPr>
            <w:color w:val="0563C1"/>
            <w:u w:val="single"/>
          </w:rPr>
          <w:t>NeoAnalytics / РБК — рынок СТМ, итоги 2025</w:t>
        </w:r>
      </w:hyperlink>
      <w:r>
        <w:t xml:space="preserve"> — Динамика СТМ опережает FMCG и розничную торговлю; СТМ становятся отдельной индустрией контрактного производства.</w:t>
      </w:r>
    </w:p>
    <w:p>
      <w:pPr>
        <w:pStyle w:val="ListBullet"/>
      </w:pPr>
      <w:hyperlink r:id="rId13">
        <w:r>
          <w:rPr>
            <w:color w:val="0563C1"/>
            <w:u w:val="single"/>
          </w:rPr>
          <w:t>BeautyLine — контрактное производство косметики</w:t>
        </w:r>
      </w:hyperlink>
      <w:r>
        <w:t xml:space="preserve"> — Публичный пример: минимальный объём от 200 л; на сайте приведён эквивалент 500 флаконов по 400 мл.</w:t>
      </w:r>
    </w:p>
    <w:p>
      <w:pPr>
        <w:pStyle w:val="ListBullet"/>
      </w:pPr>
      <w:hyperlink r:id="rId14">
        <w:r>
          <w:rPr>
            <w:color w:val="0563C1"/>
            <w:u w:val="single"/>
          </w:rPr>
          <w:t>Damalli — косметика под СТМ</w:t>
        </w:r>
      </w:hyperlink>
      <w:r>
        <w:t xml:space="preserve"> — Публичный пример: отдельные позиции от 500 шт.; на странице есть цены по тиражам и включённые операции.</w:t>
      </w:r>
    </w:p>
    <w:p>
      <w:pPr>
        <w:pStyle w:val="ListBullet"/>
      </w:pPr>
      <w:hyperlink r:id="rId15">
        <w:r>
          <w:rPr>
            <w:color w:val="0563C1"/>
            <w:u w:val="single"/>
          </w:rPr>
          <w:t>PRIVET LABEL — контрактное производство БАД</w:t>
        </w:r>
      </w:hyperlink>
      <w:r>
        <w:t xml:space="preserve"> — Публичный пример минимальной партии от 300 упаковок.</w:t>
      </w:r>
    </w:p>
    <w:p>
      <w:pPr>
        <w:pStyle w:val="ListBullet"/>
      </w:pPr>
      <w:hyperlink r:id="rId16">
        <w:r>
          <w:rPr>
            <w:color w:val="0563C1"/>
            <w:u w:val="single"/>
          </w:rPr>
          <w:t>DEART — бытовая химия под СТМ</w:t>
        </w:r>
      </w:hyperlink>
      <w:r>
        <w:t xml:space="preserve"> — Публичный пример минимального заказа от 1 000 шт.</w:t>
      </w:r>
    </w:p>
    <w:p>
      <w:pPr>
        <w:pStyle w:val="ListBullet"/>
      </w:pPr>
      <w:hyperlink r:id="rId17">
        <w:r>
          <w:rPr>
            <w:color w:val="0563C1"/>
            <w:u w:val="single"/>
          </w:rPr>
          <w:t>PBCompany — бытовая химия, контрактное производство</w:t>
        </w:r>
      </w:hyperlink>
      <w:r>
        <w:t xml:space="preserve"> — Публичный пример: MOQ определяется производством и минимальной закупкой комплектующих; описаны 6–10 тыс. флаконов в зависимости от тары.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792" w:right="893" w:bottom="792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97181"/>
        <w:sz w:val="15"/>
      </w:rPr>
      <w:t>Сценарии  •  фактчек 07.09.2026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b/>
        <w:color w:val="697181"/>
        <w:sz w:val="15"/>
      </w:rPr>
      <w:t>БИЗНЕС ПОД МИКРОСКОПОМ  •  БИЗНЕС-МОДЕЛИ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4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E1E3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D2735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E1E35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Lead">
    <w:name w:val="Lead"/>
    <w:pPr>
      <w:spacing w:after="160"/>
    </w:pPr>
    <w:rPr>
      <w:rFonts w:ascii="Arial" w:hAnsi="Arial"/>
      <w:color w:val="697181"/>
      <w:sz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ecommerce.datainsight.ru/" TargetMode="External"/><Relationship Id="rId12" Type="http://schemas.openxmlformats.org/officeDocument/2006/relationships/hyperlink" Target="https://marketing.rbc.ru/articles/16481/" TargetMode="External"/><Relationship Id="rId13" Type="http://schemas.openxmlformats.org/officeDocument/2006/relationships/hyperlink" Target="https://beauty-line.pro/" TargetMode="External"/><Relationship Id="rId14" Type="http://schemas.openxmlformats.org/officeDocument/2006/relationships/hyperlink" Target="https://damalli.ru/" TargetMode="External"/><Relationship Id="rId15" Type="http://schemas.openxmlformats.org/officeDocument/2006/relationships/hyperlink" Target="https://privetlabel.ru/" TargetMode="External"/><Relationship Id="rId16" Type="http://schemas.openxmlformats.org/officeDocument/2006/relationships/hyperlink" Target="https://deart-ctm.ru/" TargetMode="External"/><Relationship Id="rId17" Type="http://schemas.openxmlformats.org/officeDocument/2006/relationships/hyperlink" Target="https://pbcompany.ru/kontraktnoe-proizvodstv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