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mallnote"/>
      </w:pPr>
      <w:r>
        <w:rPr>
          <w:b/>
        </w:rPr>
        <w:t>ПРОВАЛЫ И УРОКИ</w:t>
      </w:r>
    </w:p>
    <w:p>
      <w:pPr>
        <w:pStyle w:val="Title"/>
      </w:pPr>
      <w:r>
        <w:t>YotaPhone: playbook ранних сигналов и 90-дневный план</w:t>
      </w:r>
    </w:p>
    <w:p>
      <w:pPr>
        <w:jc w:val="left"/>
      </w:pPr>
      <w:r>
        <w:rPr>
          <w:rFonts w:ascii="Arial" w:hAnsi="Arial"/>
          <w:color w:val="697181"/>
          <w:sz w:val="24"/>
        </w:rPr>
        <w:t>Практический комплект для собственного физического продукта: от проверки спроса до решения «тестировать / пересчитать / не масштабировать».</w:t>
      </w:r>
    </w:p>
    <w:p>
      <w:pPr>
        <w:pStyle w:val="Smallnote"/>
      </w:pPr>
      <w:r>
        <w:t>АНТИКРИЗИСНЫЙ PLAYBOOK   ·   Дата фактчека: 04.09.2026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00"/>
      </w:tblGrid>
      <w:tr>
        <w:trPr>
          <w:cantSplit/>
          <w:tblHeader w:val="true"/>
        </w:trPr>
        <w:tc>
          <w:tcPr>
            <w:tcW w:type="dxa" w:w="10200"/>
            <w:shd w:fill="F3EFE8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rial" w:hAnsi="Arial"/>
                <w:b/>
                <w:color w:val="0E1E35"/>
                <w:sz w:val="22"/>
              </w:rPr>
              <w:t>Для кого</w:t>
              <w:br/>
            </w:r>
            <w:r>
              <w:rPr>
                <w:rFonts w:ascii="Arial" w:hAnsi="Arial"/>
                <w:color w:val="1D2735"/>
                <w:sz w:val="21"/>
              </w:rPr>
            </w:r>
            <w:r>
              <w:rPr>
                <w:rFonts w:ascii="Arial" w:hAnsi="Arial"/>
                <w:b w:val="0"/>
                <w:color w:val="1D2735"/>
                <w:sz w:val="21"/>
              </w:rPr>
              <w:t>Для малого бизнеса, который производит или заказывает физический продукт: электронику, оборудование, одежду, косметику, мебель, аксессуары, food/non-food SKU и другие товары с MOQ, запасом и зависимостью от поставщиков.</w:t>
            </w:r>
          </w:p>
        </w:tc>
      </w:tr>
    </w:tbl>
    <w:p>
      <w:pPr>
        <w:spacing w:after="40"/>
      </w:pPr>
    </w:p>
    <w:p>
      <w:pPr>
        <w:pStyle w:val="Heading1"/>
      </w:pPr>
      <w:r>
        <w:t>1. Правило до начала</w:t>
      </w:r>
    </w:p>
    <w:p>
      <w:r>
        <w:t>Не используйте YotaPhone как «норму рынка». Пороговые значения ниже — управленческие ориентиры для ранней диагностики. Их нужно адаптировать под категорию, срок производства, сезонность, возвраты и денежный цикл.</w:t>
      </w:r>
    </w:p>
    <w:p>
      <w:pPr>
        <w:pStyle w:val="Heading1"/>
      </w:pPr>
      <w:r>
        <w:t>2. Матрица «сигнал → ошибка → последствие → урок»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rPr>
          <w:cantSplit/>
          <w:tblHeader w:val="true"/>
        </w:trPr>
        <w:tc>
          <w:tcPr>
            <w:tcW w:type="dxa" w:w="2098"/>
            <w:shd w:fill="0E1E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Сигнал</w:t>
            </w:r>
          </w:p>
        </w:tc>
        <w:tc>
          <w:tcPr>
            <w:tcW w:type="dxa" w:w="2381"/>
            <w:shd w:fill="0E1E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Ошибка</w:t>
            </w:r>
          </w:p>
        </w:tc>
        <w:tc>
          <w:tcPr>
            <w:tcW w:type="dxa" w:w="2551"/>
            <w:shd w:fill="0E1E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Последствие</w:t>
            </w:r>
          </w:p>
        </w:tc>
        <w:tc>
          <w:tcPr>
            <w:tcW w:type="dxa" w:w="2721"/>
            <w:shd w:fill="0E1E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Урок</w:t>
            </w:r>
          </w:p>
        </w:tc>
      </w:tr>
      <w:tr>
        <w:trPr>
          <w:cantSplit/>
        </w:trPr>
        <w:tc>
          <w:tcPr>
            <w:tcW w:type="dxa" w:w="209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5"/>
              </w:rPr>
              <w:t>Известность растёт быстрее оплат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5"/>
              </w:rPr>
              <w:t>Считать знание бренда спросом</w:t>
            </w:r>
          </w:p>
        </w:tc>
        <w:tc>
          <w:tcPr>
            <w:tcW w:type="dxa" w:w="255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5"/>
              </w:rPr>
              <w:t>Партия формируется по шуму, а не по подтверждённым продажам</w:t>
            </w:r>
          </w:p>
        </w:tc>
        <w:tc>
          <w:tcPr>
            <w:tcW w:type="dxa" w:w="272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5"/>
              </w:rPr>
              <w:t>Раздельные показатели: известность / оплаченные заказы / фактические продажи</w:t>
            </w:r>
          </w:p>
        </w:tc>
      </w:tr>
      <w:tr>
        <w:trPr>
          <w:cantSplit/>
        </w:trPr>
        <w:tc>
          <w:tcPr>
            <w:tcW w:type="dxa" w:w="209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5"/>
              </w:rPr>
              <w:t>Полная цена не держится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5"/>
              </w:rPr>
              <w:t>Маскировать слабое соответствие продукта рынку скидкой</w:t>
            </w:r>
          </w:p>
        </w:tc>
        <w:tc>
          <w:tcPr>
            <w:tcW w:type="dxa" w:w="255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5"/>
              </w:rPr>
              <w:t>Маржа исчезает при росте</w:t>
            </w:r>
          </w:p>
        </w:tc>
        <w:tc>
          <w:tcPr>
            <w:tcW w:type="dxa" w:w="272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5"/>
              </w:rPr>
              <w:t>Проверять готовность платить до заказа минимальной партии</w:t>
            </w:r>
          </w:p>
        </w:tc>
      </w:tr>
      <w:tr>
        <w:trPr>
          <w:cantSplit/>
        </w:trPr>
        <w:tc>
          <w:tcPr>
            <w:tcW w:type="dxa" w:w="209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5"/>
              </w:rPr>
              <w:t>MOQ &gt; 3 мес. консервативных продаж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5"/>
              </w:rPr>
              <w:t>Покупать масштаб заранее</w:t>
            </w:r>
          </w:p>
        </w:tc>
        <w:tc>
          <w:tcPr>
            <w:tcW w:type="dxa" w:w="255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5"/>
              </w:rPr>
              <w:t>Деньги заморожены в запасе</w:t>
            </w:r>
          </w:p>
        </w:tc>
        <w:tc>
          <w:tcPr>
            <w:tcW w:type="dxa" w:w="272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5"/>
              </w:rPr>
              <w:t>Партия по подтверждённой скорости продаж</w:t>
            </w:r>
          </w:p>
        </w:tc>
      </w:tr>
      <w:tr>
        <w:trPr>
          <w:cantSplit/>
        </w:trPr>
        <w:tc>
          <w:tcPr>
            <w:tcW w:type="dxa" w:w="209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5"/>
              </w:rPr>
              <w:t>Вклад единицы ниже целевого после стоимости привлечения и гарантии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5"/>
              </w:rPr>
              <w:t>Смотреть только на валовую маржу</w:t>
            </w:r>
          </w:p>
        </w:tc>
        <w:tc>
          <w:tcPr>
            <w:tcW w:type="dxa" w:w="255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5"/>
              </w:rPr>
              <w:t>Рост ускоряет расходование денежных средств</w:t>
            </w:r>
          </w:p>
        </w:tc>
        <w:tc>
          <w:tcPr>
            <w:tcW w:type="dxa" w:w="272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5"/>
              </w:rPr>
              <w:t>Считать full вклад единицы</w:t>
            </w:r>
          </w:p>
        </w:tc>
      </w:tr>
      <w:tr>
        <w:trPr>
          <w:cantSplit/>
        </w:trPr>
        <w:tc>
          <w:tcPr>
            <w:tcW w:type="dxa" w:w="209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5"/>
              </w:rPr>
              <w:t>Один критичный поставщик критичного компонента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5"/>
              </w:rPr>
              <w:t>Не иметь альтернативы</w:t>
            </w:r>
          </w:p>
        </w:tc>
        <w:tc>
          <w:tcPr>
            <w:tcW w:type="dxa" w:w="255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5"/>
              </w:rPr>
              <w:t>Срыв поставки = срыв бизнеса</w:t>
            </w:r>
          </w:p>
        </w:tc>
        <w:tc>
          <w:tcPr>
            <w:tcW w:type="dxa" w:w="272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5"/>
              </w:rPr>
              <w:t>Квалифицировать резервного поставщика</w:t>
            </w:r>
          </w:p>
        </w:tc>
      </w:tr>
      <w:tr>
        <w:trPr>
          <w:cantSplit/>
        </w:trPr>
        <w:tc>
          <w:tcPr>
            <w:tcW w:type="dxa" w:w="209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5"/>
              </w:rPr>
              <w:t>Валютная доля себестоимости высокая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5"/>
              </w:rPr>
              <w:t>Считать курс постоянным</w:t>
            </w:r>
          </w:p>
        </w:tc>
        <w:tc>
          <w:tcPr>
            <w:tcW w:type="dxa" w:w="255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5"/>
              </w:rPr>
              <w:t>Цена/маржа ломаются быстро</w:t>
            </w:r>
          </w:p>
        </w:tc>
        <w:tc>
          <w:tcPr>
            <w:tcW w:type="dxa" w:w="272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5"/>
              </w:rPr>
              <w:t>FX stress + правило repricing</w:t>
            </w:r>
          </w:p>
        </w:tc>
      </w:tr>
      <w:tr>
        <w:trPr>
          <w:cantSplit/>
        </w:trPr>
        <w:tc>
          <w:tcPr>
            <w:tcW w:type="dxa" w:w="209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5"/>
              </w:rPr>
              <w:t>Новый рынок до подтверждения соответствия продукта рынку дома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5"/>
              </w:rPr>
              <w:t>Масштабировать географию слишком рано</w:t>
            </w:r>
          </w:p>
        </w:tc>
        <w:tc>
          <w:tcPr>
            <w:tcW w:type="dxa" w:w="255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5"/>
              </w:rPr>
              <w:t>Сложность растёт быстрее продаж</w:t>
            </w:r>
          </w:p>
        </w:tc>
        <w:tc>
          <w:tcPr>
            <w:tcW w:type="dxa" w:w="272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5"/>
              </w:rPr>
              <w:t>Контрольная точка по стране и отдельная локальная экономика</w:t>
            </w:r>
          </w:p>
        </w:tc>
      </w:tr>
      <w:tr>
        <w:trPr>
          <w:cantSplit/>
        </w:trPr>
        <w:tc>
          <w:tcPr>
            <w:tcW w:type="dxa" w:w="209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5"/>
              </w:rPr>
              <w:t>Релиз опаздывает &gt;30 дней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5"/>
              </w:rPr>
              <w:t>Продолжать публичный маркетинг</w:t>
            </w:r>
          </w:p>
        </w:tc>
        <w:tc>
          <w:tcPr>
            <w:tcW w:type="dxa" w:w="255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5"/>
              </w:rPr>
              <w:t>Возвраты, потеря окна, новый конкурентный цикл</w:t>
            </w:r>
          </w:p>
        </w:tc>
        <w:tc>
          <w:tcPr>
            <w:tcW w:type="dxa" w:w="272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5"/>
              </w:rPr>
              <w:t>Дата релиза только после production readiness</w:t>
            </w:r>
          </w:p>
        </w:tc>
      </w:tr>
      <w:tr>
        <w:trPr>
          <w:cantSplit/>
        </w:trPr>
        <w:tc>
          <w:tcPr>
            <w:tcW w:type="dxa" w:w="209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5"/>
              </w:rPr>
              <w:t>Денежного запаса хватает меньше, чем новой итерации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5"/>
              </w:rPr>
              <w:t>Надеяться на следующий раунд/партию</w:t>
            </w:r>
          </w:p>
        </w:tc>
        <w:tc>
          <w:tcPr>
            <w:tcW w:type="dxa" w:w="255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5"/>
              </w:rPr>
              <w:t>Нет времени исправить продукт</w:t>
            </w:r>
          </w:p>
        </w:tc>
        <w:tc>
          <w:tcPr>
            <w:tcW w:type="dxa" w:w="272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5"/>
              </w:rPr>
              <w:t>Контрольная точка по денежному запасу до закупки</w:t>
            </w:r>
          </w:p>
        </w:tc>
      </w:tr>
      <w:tr>
        <w:trPr>
          <w:cantSplit/>
        </w:trPr>
        <w:tc>
          <w:tcPr>
            <w:tcW w:type="dxa" w:w="209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5"/>
              </w:rPr>
              <w:t>Поддержка/возвраты растут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5"/>
              </w:rPr>
              <w:t>Не учитывать post-sale cost</w:t>
            </w:r>
          </w:p>
        </w:tc>
        <w:tc>
          <w:tcPr>
            <w:tcW w:type="dxa" w:w="255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5"/>
              </w:rPr>
              <w:t>Маржа «на бумаге» исчезает</w:t>
            </w:r>
          </w:p>
        </w:tc>
        <w:tc>
          <w:tcPr>
            <w:tcW w:type="dxa" w:w="272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5"/>
              </w:rPr>
              <w:t>Warranty reserve и QC по причинам</w:t>
            </w:r>
          </w:p>
        </w:tc>
      </w:tr>
    </w:tbl>
    <w:p>
      <w:pPr>
        <w:spacing w:after="40"/>
      </w:pPr>
    </w:p>
    <w:p>
      <w:pPr>
        <w:pStyle w:val="Heading1"/>
      </w:pPr>
      <w:r>
        <w:t>3. Чек-лист до MOQ / первой крупной партии</w:t>
      </w:r>
    </w:p>
    <w:p>
      <w:r>
        <w:rPr>
          <w:b/>
        </w:rPr>
        <w:t xml:space="preserve">☐ </w:t>
      </w:r>
      <w:r>
        <w:t>Есть не менее двух волн реальных платных продаж или предзаказов по цене, близкой к плановой рознице.</w:t>
      </w:r>
    </w:p>
    <w:p>
      <w:r>
        <w:rPr>
          <w:b/>
        </w:rPr>
        <w:t>☐ Определены фактические продажи конечным покупателям, а не только отгрузка дилеру или маркетплейсу.</w:t>
      </w:r>
      <w:r/>
    </w:p>
    <w:p>
      <w:r>
        <w:rPr>
          <w:b/>
        </w:rPr>
        <w:t>☐ Посчитан вклад единицы после закупочной себестоимости, комиссии канала, логистики, возвратов, гарантии, стоимости привлечения (CAC) и переменной поддержки.</w:t>
      </w:r>
      <w:r/>
    </w:p>
    <w:p>
      <w:r>
        <w:rPr>
          <w:b/>
        </w:rPr>
        <w:t xml:space="preserve">☐ </w:t>
      </w:r>
      <w:r>
        <w:t>Размер MOQ помещается в денежный резерв даже при продажах на 30–40% ниже BASE.</w:t>
      </w:r>
    </w:p>
    <w:p>
      <w:r>
        <w:rPr>
          <w:b/>
        </w:rPr>
        <w:t xml:space="preserve">☐ </w:t>
      </w:r>
      <w:r>
        <w:t>Запас после MOQ не превышает допустимый срок морального/сезонного старения категории.</w:t>
      </w:r>
    </w:p>
    <w:p>
      <w:r>
        <w:rPr>
          <w:b/>
        </w:rPr>
        <w:t xml:space="preserve">☐ </w:t>
      </w:r>
      <w:r>
        <w:t>Критичные компоненты имеют альтернативу либо зафиксирован план B со сроками и стоимостью.</w:t>
      </w:r>
    </w:p>
    <w:p>
      <w:r>
        <w:rPr>
          <w:b/>
        </w:rPr>
        <w:t>☐ Валютный шок +20% по валютной части себестоимости не превращает вклад единицы в отрицательный.</w:t>
      </w:r>
      <w:r/>
    </w:p>
    <w:p>
      <w:r>
        <w:rPr>
          <w:b/>
        </w:rPr>
        <w:t xml:space="preserve">☐ </w:t>
      </w:r>
      <w:r>
        <w:t>Срок производства включает буфер; публичная дата не равна best-case фабрики.</w:t>
      </w:r>
    </w:p>
    <w:p>
      <w:r>
        <w:rPr>
          <w:b/>
        </w:rPr>
        <w:t xml:space="preserve">☐ </w:t>
      </w:r>
      <w:r>
        <w:t>Гарантийный резерв и процесс возврата финансируются текущей продажей, а не будущим ростом.</w:t>
      </w:r>
    </w:p>
    <w:p>
      <w:r>
        <w:rPr>
          <w:b/>
        </w:rPr>
        <w:t>☐ Для нового рынка отдельно посчитаны экономика, требования сертификации, логистика и сервис.</w:t>
      </w:r>
      <w:r/>
    </w:p>
    <w:p>
      <w:r>
        <w:rPr>
          <w:b/>
        </w:rPr>
        <w:t xml:space="preserve">☐ </w:t>
      </w:r>
      <w:r>
        <w:t>Команда заранее знает STOP-условия и имеет право сократить/отменить партию.</w:t>
      </w:r>
    </w:p>
    <w:p>
      <w:pPr>
        <w:pStyle w:val="Heading1"/>
      </w:pPr>
      <w:r>
        <w:t>4. 12 ранних индикаторов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rPr>
          <w:cantSplit/>
          <w:tblHeader w:val="true"/>
        </w:trPr>
        <w:tc>
          <w:tcPr>
            <w:tcW w:type="dxa" w:w="2835"/>
            <w:shd w:fill="0E1E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Индикатор</w:t>
            </w:r>
          </w:p>
        </w:tc>
        <w:tc>
          <w:tcPr>
            <w:tcW w:type="dxa" w:w="2268"/>
            <w:shd w:fill="0E1E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Зелёный</w:t>
            </w:r>
          </w:p>
        </w:tc>
        <w:tc>
          <w:tcPr>
            <w:tcW w:type="dxa" w:w="2268"/>
            <w:shd w:fill="0E1E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Жёлтый</w:t>
            </w:r>
          </w:p>
        </w:tc>
        <w:tc>
          <w:tcPr>
            <w:tcW w:type="dxa" w:w="2381"/>
            <w:shd w:fill="0E1E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Красный</w:t>
            </w:r>
          </w:p>
        </w:tc>
      </w:tr>
      <w:tr>
        <w:trPr>
          <w:cantSplit/>
        </w:trPr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Конверсия платного трафика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Стабильна или растёт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-20% к исходному уровню две недели подряд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-35%+ и скидки не спасают</w:t>
            </w:r>
          </w:p>
        </w:tc>
      </w:tr>
      <w:tr>
        <w:trPr>
          <w:cantSplit/>
        </w:trPr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Доля продаж со скидкой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&lt;25%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25–45%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&gt;45%</w:t>
            </w:r>
          </w:p>
        </w:tc>
      </w:tr>
      <w:tr>
        <w:trPr>
          <w:cantSplit/>
        </w:trPr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Маржа вклада после стоимости привлечения и гарантии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&gt;25%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10–25%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&lt;10% или отрицательная</w:t>
            </w:r>
          </w:p>
        </w:tc>
      </w:tr>
      <w:tr>
        <w:trPr>
          <w:cantSplit/>
        </w:trPr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Фактические продажи за 90 дней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≥70% партии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45–70%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&lt;45%</w:t>
            </w:r>
          </w:p>
        </w:tc>
      </w:tr>
      <w:tr>
        <w:trPr>
          <w:cantSplit/>
        </w:trPr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Запас в месяцах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≤2,5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2,5–4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&gt;4</w:t>
            </w:r>
          </w:p>
        </w:tc>
      </w:tr>
      <w:tr>
        <w:trPr>
          <w:cantSplit/>
        </w:trPr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MOQ / месячные продажи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≤2x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2–4x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&gt;4x</w:t>
            </w:r>
          </w:p>
        </w:tc>
      </w:tr>
      <w:tr>
        <w:trPr>
          <w:cantSplit/>
        </w:trPr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Возвраты + гарантийные случаи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≤5%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5–10%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&gt;10%</w:t>
            </w:r>
          </w:p>
        </w:tc>
      </w:tr>
      <w:tr>
        <w:trPr>
          <w:cantSplit/>
        </w:trPr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Концентрация поставщика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&lt;70% критичных компонентов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70–90%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&gt;90% без резервного поставщика</w:t>
            </w:r>
          </w:p>
        </w:tc>
      </w:tr>
      <w:tr>
        <w:trPr>
          <w:cantSplit/>
        </w:trPr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Валютная доля себестоимости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&lt;40%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40–70%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&gt;70% без hedge/repricing</w:t>
            </w:r>
          </w:p>
        </w:tc>
      </w:tr>
      <w:tr>
        <w:trPr>
          <w:cantSplit/>
        </w:trPr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Задержка релиза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≤2 недель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2–4 недели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&gt;4 недель</w:t>
            </w:r>
          </w:p>
        </w:tc>
      </w:tr>
      <w:tr>
        <w:trPr>
          <w:cantSplit/>
        </w:trPr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Денежный запас в стресс-сценарии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≥6 мес.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3–6 мес.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&lt;3 мес.</w:t>
            </w:r>
          </w:p>
        </w:tc>
      </w:tr>
      <w:tr>
        <w:trPr>
          <w:cantSplit/>
        </w:trPr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Доля одного канала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&lt;60%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60–80%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&gt;80%</w:t>
            </w:r>
          </w:p>
        </w:tc>
      </w:tr>
    </w:tbl>
    <w:p>
      <w:pPr>
        <w:spacing w:after="40"/>
      </w:pPr>
    </w:p>
    <w:p>
      <w:r>
        <w:t>Пороговые значения — сценарные ориентиры playbook, не отраслевые нормы. Для скоропортящихся товаров, сезонной моды и сложного оборудования их нужно ужесточать или адаптировать.</w:t>
      </w:r>
    </w:p>
    <w:p>
      <w:pPr>
        <w:pStyle w:val="Heading1"/>
      </w:pPr>
      <w:r>
        <w:t>5. 90-дневный план проверки продукта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/>
          <w:tblHeader w:val="true"/>
        </w:trPr>
        <w:tc>
          <w:tcPr>
            <w:tcW w:type="dxa" w:w="1814"/>
            <w:shd w:fill="0E1E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Период</w:t>
            </w:r>
          </w:p>
        </w:tc>
        <w:tc>
          <w:tcPr>
            <w:tcW w:type="dxa" w:w="5216"/>
            <w:shd w:fill="0E1E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Действия</w:t>
            </w:r>
          </w:p>
        </w:tc>
        <w:tc>
          <w:tcPr>
            <w:tcW w:type="dxa" w:w="2835"/>
            <w:shd w:fill="0E1E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Контрольная точка</w:t>
            </w:r>
          </w:p>
        </w:tc>
      </w:tr>
      <w:tr>
        <w:trPr>
          <w:cantSplit/>
        </w:trPr>
        <w:tc>
          <w:tcPr>
            <w:tcW w:type="dxa" w:w="181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Дни 1–15 · Спрос и цена</w:t>
            </w:r>
          </w:p>
        </w:tc>
        <w:tc>
          <w:tcPr>
            <w:tcW w:type="dxa" w:w="5216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Провести 15–25 интервью с недавними и потенциальными покупателями; сформировать один основной сценарий использования; провести два ценовых теста без искусственно глубокой скидки; зафиксировать готовность платить и причины отказа.</w:t>
            </w:r>
          </w:p>
        </w:tc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Контрольная точка: есть оплаченный спрос по цене, при которой вклад единицы положителен.</w:t>
            </w:r>
          </w:p>
        </w:tc>
      </w:tr>
      <w:tr>
        <w:trPr>
          <w:cantSplit/>
        </w:trPr>
        <w:tc>
          <w:tcPr>
            <w:tcW w:type="dxa" w:w="181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Дни 16–30 · Экономика единицы</w:t>
            </w:r>
          </w:p>
        </w:tc>
        <w:tc>
          <w:tcPr>
            <w:tcW w:type="dxa" w:w="5216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Собрать полный состав и закупочную себестоимость (BOM/COGS); добавить канал, логистику, возвраты, гарантию, стоимость привлечения (CAC), упаковку и переменную поддержку; пересчитать точку безубыточности; провести валютный стресс +20% и стресс стоимости привлечения +30%.</w:t>
            </w:r>
          </w:p>
        </w:tc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Контрольная точка: слабый сценарий не делает каждую дополнительную продажу убыточной.</w:t>
            </w:r>
          </w:p>
        </w:tc>
      </w:tr>
      <w:tr>
        <w:trPr>
          <w:cantSplit/>
        </w:trPr>
        <w:tc>
          <w:tcPr>
            <w:tcW w:type="dxa" w:w="181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Дни 31–45 · MOQ и поставщик</w:t>
            </w:r>
          </w:p>
        </w:tc>
        <w:tc>
          <w:tcPr>
            <w:tcW w:type="dxa" w:w="5216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Запросить 2–3 предложения; сравнить минимальную партию (MOQ), срок поставки, дефектность, оплату, штрафы, права на интеллектуальную собственность и резерв мощности; проверить резервного поставщика.</w:t>
            </w:r>
          </w:p>
        </w:tc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Контрольная точка: минимальная партия финансируется без критического сокращения денежного запаса и не создаёт более четырёх месяцев запаса.</w:t>
            </w:r>
          </w:p>
        </w:tc>
      </w:tr>
      <w:tr>
        <w:trPr>
          <w:cantSplit/>
        </w:trPr>
        <w:tc>
          <w:tcPr>
            <w:tcW w:type="dxa" w:w="181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Дни 46–60 · Пилотная партия</w:t>
            </w:r>
          </w:p>
        </w:tc>
        <w:tc>
          <w:tcPr>
            <w:tcW w:type="dxa" w:w="5216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Произвести минимальную разумную партию; вести каждую продажу до конечного покупателя; записывать возвраты, причины отказа, поддержку и фактические продажи конечным покупателям.</w:t>
            </w:r>
          </w:p>
        </w:tc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Контрольная точка: достигнуто ≥70% целевых продаж либо назначен понятный корректирующий тест.</w:t>
            </w:r>
          </w:p>
        </w:tc>
      </w:tr>
      <w:tr>
        <w:trPr>
          <w:cantSplit/>
        </w:trPr>
        <w:tc>
          <w:tcPr>
            <w:tcW w:type="dxa" w:w="181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Дни 61–75 · Каналы и сервис</w:t>
            </w:r>
          </w:p>
        </w:tc>
        <w:tc>
          <w:tcPr>
            <w:tcW w:type="dxa" w:w="5216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Сравнить вклад по собственному сайту, маркетплейсу, дилеру и офлайн-каналу; измерить возвраты и послепродажные затраты; не оценивать канал только по обороту.</w:t>
            </w:r>
          </w:p>
        </w:tc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Контрольная точка: есть хотя бы один канал с устойчивым положительным вкладом.</w:t>
            </w:r>
          </w:p>
        </w:tc>
      </w:tr>
      <w:tr>
        <w:trPr>
          <w:cantSplit/>
        </w:trPr>
        <w:tc>
          <w:tcPr>
            <w:tcW w:type="dxa" w:w="181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Дни 76–90 · Решение</w:t>
            </w:r>
          </w:p>
        </w:tc>
        <w:tc>
          <w:tcPr>
            <w:tcW w:type="dxa" w:w="5216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Обновить стресс-тест; оценить запас, денежный горизонт, риск поставщика и план развития продукта; выбрать одно из трёх решений: ТЕСТИРОВАТЬ ДАЛЬШЕ / ПЕРЕСЧИТАТЬ И СУЗИТЬ / НЕ МАСШТАБИРОВАТЬ.</w:t>
            </w:r>
          </w:p>
        </w:tc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Контрольная точка: решение принято до следующего крупного обязательства или партии.</w:t>
            </w:r>
          </w:p>
        </w:tc>
      </w:tr>
    </w:tbl>
    <w:p>
      <w:pPr>
        <w:spacing w:after="40"/>
      </w:pPr>
    </w:p>
    <w:p>
      <w:pPr>
        <w:pStyle w:val="Heading1"/>
      </w:pPr>
      <w:r>
        <w:t>6. Антикризисные действия по типу проблемы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/>
          <w:tblHeader w:val="true"/>
        </w:trPr>
        <w:tc>
          <w:tcPr>
            <w:tcW w:type="dxa" w:w="2268"/>
            <w:shd w:fill="0E1E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Проблема</w:t>
            </w:r>
          </w:p>
        </w:tc>
        <w:tc>
          <w:tcPr>
            <w:tcW w:type="dxa" w:w="3572"/>
            <w:shd w:fill="0E1E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Первые 72 часа</w:t>
            </w:r>
          </w:p>
        </w:tc>
        <w:tc>
          <w:tcPr>
            <w:tcW w:type="dxa" w:w="3969"/>
            <w:shd w:fill="0E1E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Следующие 30 дней</w:t>
            </w:r>
          </w:p>
        </w:tc>
      </w:tr>
      <w:tr>
        <w:trPr>
          <w:cantSplit/>
        </w:trPr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Продажи ниже плана</w:t>
            </w:r>
          </w:p>
        </w:tc>
        <w:tc>
          <w:tcPr>
            <w:tcW w:type="dxa" w:w="357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Заморозить новый MOQ; остановить «масштабный» маркетинг; разделить лиды и оплаты.</w:t>
            </w:r>
          </w:p>
        </w:tc>
        <w:tc>
          <w:tcPr>
            <w:tcW w:type="dxa" w:w="396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Пересобрать сегмент и основной сценарий использования; тестировать цену; ликвидировать старый запас, не маскируя слабый спрос скидкой.</w:t>
            </w:r>
          </w:p>
        </w:tc>
      </w:tr>
      <w:tr>
        <w:trPr>
          <w:cantSplit/>
        </w:trPr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FX ломает маржу</w:t>
            </w:r>
          </w:p>
        </w:tc>
        <w:tc>
          <w:tcPr>
            <w:tcW w:type="dxa" w:w="357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Обновить полную себестоимость с доставкой; установить контрольную точку для пересмотра цены; пересчитать заказы в пути.</w:t>
            </w:r>
          </w:p>
        </w:tc>
        <w:tc>
          <w:tcPr>
            <w:tcW w:type="dxa" w:w="396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Локализовать часть BOM, договориться о валютных условиях/опционе поставки, сократить цикл партии.</w:t>
            </w:r>
          </w:p>
        </w:tc>
      </w:tr>
      <w:tr>
        <w:trPr>
          <w:cantSplit/>
        </w:trPr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Поставщик срывает срок</w:t>
            </w:r>
          </w:p>
        </w:tc>
        <w:tc>
          <w:tcPr>
            <w:tcW w:type="dxa" w:w="357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Остановить обещания дат; инвентаризировать предоплаты/компоненты; активировать резервного поставщика.</w:t>
            </w:r>
          </w:p>
        </w:tc>
        <w:tc>
          <w:tcPr>
            <w:tcW w:type="dxa" w:w="396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Квалифицировать второго поставщика; пересмотреть штрафы, MOQ, QA и safety stock критичного компонента.</w:t>
            </w:r>
          </w:p>
        </w:tc>
      </w:tr>
      <w:tr>
        <w:trPr>
          <w:cantSplit/>
        </w:trPr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Возвраты растут</w:t>
            </w:r>
          </w:p>
        </w:tc>
        <w:tc>
          <w:tcPr>
            <w:tcW w:type="dxa" w:w="357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Классифицировать дефекты; stop-ship для повторяющейся критичной причины.</w:t>
            </w:r>
          </w:p>
        </w:tc>
        <w:tc>
          <w:tcPr>
            <w:tcW w:type="dxa" w:w="396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корректирующие меры и контроль качества, изменение BOM/поставщика, гарантийный резерв, публичная коммуникация без сокрытия.</w:t>
            </w:r>
          </w:p>
        </w:tc>
      </w:tr>
      <w:tr>
        <w:trPr>
          <w:cantSplit/>
        </w:trPr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Денежного запаса меньше трёх месяцев.</w:t>
            </w:r>
          </w:p>
        </w:tc>
        <w:tc>
          <w:tcPr>
            <w:tcW w:type="dxa" w:w="357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Остановить новые капитальные вложения и крупные партии; 13-недельный денежный поток; приоритет товары, которые уже генерируют деньги.</w:t>
            </w:r>
          </w:p>
        </w:tc>
        <w:tc>
          <w:tcPr>
            <w:tcW w:type="dxa" w:w="396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Сократить fixed, пересобрать план партии, искать финансирование только под доказанную экономику единицы.</w:t>
            </w:r>
          </w:p>
        </w:tc>
      </w:tr>
    </w:tbl>
    <w:p>
      <w:pPr>
        <w:spacing w:after="40"/>
      </w:pPr>
    </w:p>
    <w:p>
      <w:pPr>
        <w:pStyle w:val="Heading1"/>
      </w:pPr>
      <w:r>
        <w:t>7. Решение: три статуса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/>
          <w:tblHeader w:val="true"/>
        </w:trPr>
        <w:tc>
          <w:tcPr>
            <w:tcW w:type="dxa" w:w="2381"/>
            <w:shd w:fill="0E1E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Статус</w:t>
            </w:r>
          </w:p>
        </w:tc>
        <w:tc>
          <w:tcPr>
            <w:tcW w:type="dxa" w:w="4535"/>
            <w:shd w:fill="0E1E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Когда использовать</w:t>
            </w:r>
          </w:p>
        </w:tc>
        <w:tc>
          <w:tcPr>
            <w:tcW w:type="dxa" w:w="2835"/>
            <w:shd w:fill="0E1E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Что разрешено</w:t>
            </w:r>
          </w:p>
        </w:tc>
      </w:tr>
      <w:tr>
        <w:trPr>
          <w:cantSplit/>
        </w:trPr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ТЕСТИРОВАТЬ</w:t>
            </w:r>
          </w:p>
        </w:tc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Есть признаки соответствия продукта рынку; вклад единицы положителен; минимальная партия и денежный запас в стресс-сценарии контролируются.</w:t>
            </w:r>
          </w:p>
        </w:tc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Малые партии, один следующий эксперимент, без географического форсажа.</w:t>
            </w:r>
          </w:p>
        </w:tc>
      </w:tr>
      <w:tr>
        <w:trPr>
          <w:cantSplit/>
        </w:trPr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ПЕРЕСЧИТАТЬ И СУЗИТЬ</w:t>
            </w:r>
          </w:p>
        </w:tc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Есть спрос, но цена/канал/MOQ/поставщик создают жёлтые или красные зоны.</w:t>
            </w:r>
          </w:p>
        </w:tc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Сегмент, SKU, канал, поставщик и партия пересобираются до следующего обязательства.</w:t>
            </w:r>
          </w:p>
        </w:tc>
      </w:tr>
      <w:tr>
        <w:trPr>
          <w:cantSplit/>
        </w:trPr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НЕ МАСШТАБИРОВАТЬ</w:t>
            </w:r>
          </w:p>
        </w:tc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Отрицательный вклад единицы, нет платного спроса по рабочей цене, денежного запаса в стресс-сценарии меньше трёх месяцев или есть критическая зависимость от одного поставщика без плана замены.</w:t>
            </w:r>
          </w:p>
        </w:tc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Только действия по сохранению денежных средств, закрытию обязательств и поиску новой гипотезы.</w:t>
            </w:r>
          </w:p>
        </w:tc>
      </w:tr>
    </w:tbl>
    <w:p>
      <w:pPr>
        <w:spacing w:after="40"/>
      </w:pPr>
    </w:p>
    <w:p>
      <w:pPr>
        <w:pStyle w:val="Heading1"/>
      </w:pPr>
      <w:r>
        <w:t>8. Мини-форма решения</w:t>
      </w:r>
    </w:p>
    <w:p>
      <w:r>
        <w:rPr>
          <w:b/>
        </w:rPr>
        <w:t xml:space="preserve">Главная проблема клиента: </w:t>
      </w:r>
      <w:r>
        <w:t>____________________________________________________________</w:t>
      </w:r>
    </w:p>
    <w:p>
      <w:r>
        <w:rPr>
          <w:b/>
        </w:rPr>
        <w:t xml:space="preserve">Цена без скидки: </w:t>
      </w:r>
      <w:r>
        <w:t>____________________________________________________________</w:t>
      </w:r>
    </w:p>
    <w:p>
      <w:r>
        <w:rPr>
          <w:b/>
        </w:rPr>
        <w:t xml:space="preserve">Вклад единицы после всех переменных затрат: </w:t>
      </w:r>
      <w:r>
        <w:t>____________________________________________________________</w:t>
      </w:r>
    </w:p>
    <w:p>
      <w:r>
        <w:rPr>
          <w:b/>
        </w:rPr>
        <w:t xml:space="preserve">Фактические продажи за 90 дней: </w:t>
      </w:r>
      <w:r>
        <w:t>____________________________________________________________</w:t>
      </w:r>
    </w:p>
    <w:p>
      <w:r>
        <w:rPr>
          <w:b/>
        </w:rPr>
        <w:t xml:space="preserve">MOQ / месячные продажи: </w:t>
      </w:r>
      <w:r>
        <w:t>____________________________________________________________</w:t>
      </w:r>
    </w:p>
    <w:p>
      <w:r>
        <w:rPr>
          <w:b/>
        </w:rPr>
        <w:t xml:space="preserve">Денежный запас в стресс-сценарии: </w:t>
      </w:r>
      <w:r>
        <w:t>____________________________________________________________</w:t>
      </w:r>
    </w:p>
    <w:p>
      <w:r>
        <w:rPr>
          <w:b/>
        </w:rPr>
        <w:t xml:space="preserve">Критичный и резервный поставщик: </w:t>
      </w:r>
      <w:r>
        <w:t>____________________________________________________________</w:t>
      </w:r>
    </w:p>
    <w:p>
      <w:r>
        <w:rPr>
          <w:b/>
        </w:rPr>
        <w:t xml:space="preserve">Решение на следующие 30 дней: </w:t>
      </w:r>
      <w:r>
        <w:t>____________________________________________________________</w:t>
      </w:r>
    </w:p>
    <w:p>
      <w:r>
        <w:rPr>
          <w:b/>
        </w:rPr>
        <w:t xml:space="preserve">STOP-условие: </w:t>
      </w:r>
      <w:r>
        <w:t>____________________________________________________________</w:t>
      </w:r>
    </w:p>
    <w:p>
      <w:pPr>
        <w:pStyle w:val="Heading1"/>
      </w:pPr>
      <w:r>
        <w:t>9. Практический вывод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00"/>
      </w:tblGrid>
      <w:tr>
        <w:trPr>
          <w:cantSplit/>
          <w:tblHeader w:val="true"/>
        </w:trPr>
        <w:tc>
          <w:tcPr>
            <w:tcW w:type="dxa" w:w="10200"/>
            <w:shd w:fill="F3EFE8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rial" w:hAnsi="Arial"/>
                <w:b/>
                <w:color w:val="0E1E35"/>
                <w:sz w:val="22"/>
              </w:rPr>
              <w:t>Масштаб — это привилегия доказанной модели</w:t>
              <w:br/>
            </w:r>
            <w:r>
              <w:rPr>
                <w:rFonts w:ascii="Arial" w:hAnsi="Arial"/>
                <w:color w:val="1D2735"/>
                <w:sz w:val="21"/>
              </w:rPr>
            </w:r>
            <w:r>
              <w:rPr>
                <w:rFonts w:ascii="Arial" w:hAnsi="Arial"/>
                <w:b w:val="0"/>
                <w:color w:val="1D2735"/>
                <w:sz w:val="21"/>
              </w:rPr>
              <w:t>Пока нет воспроизводимого спроса, положительного вклада единицы и готовой цепочки поставок, следующая большая партия не является ростом. Это увеличение ставки на неподтверждённую гипотезу.</w:t>
            </w:r>
          </w:p>
        </w:tc>
      </w:tr>
    </w:tbl>
    <w:p>
      <w:pPr>
        <w:spacing w:after="40"/>
      </w:pPr>
    </w:p>
    <w:p>
      <w:pPr>
        <w:pStyle w:val="Heading1"/>
      </w:pPr>
      <w:r>
        <w:t>Источники и границы фактчека</w:t>
      </w:r>
    </w:p>
    <w:p>
      <w:r>
        <w:t>Дата проверки: 04.09.2026. В материале отделены подтверждённые факты, заявления компании/акционеров, независимые обзоры и редакционная интерпретация. Если точная себестоимость, маркетинговый бюджет или валовая маржа YotaPhone публично не раскрыты, они не реконструируются как факт.</w:t>
      </w:r>
    </w:p>
    <w:p>
      <w:pPr>
        <w:spacing w:after="60"/>
      </w:pPr>
      <w:r>
        <w:t xml:space="preserve">1. Ведомости, 02.12.2014 — цена и первая партия YotaPhone 2: </w:t>
      </w:r>
      <w:hyperlink r:id="rId11">
        <w:r>
          <w:rPr>
            <w:color w:val="2F5E85"/>
            <w:u w:val="single"/>
          </w:rPr>
          <w:t>открыть источник</w:t>
        </w:r>
      </w:hyperlink>
    </w:p>
    <w:p>
      <w:pPr>
        <w:spacing w:after="60"/>
      </w:pPr>
      <w:r>
        <w:t xml:space="preserve">2. Коммерсантъ, 03.12.2014 — позиционирование, сравнение цен и оценка нишевости: </w:t>
      </w:r>
      <w:hyperlink r:id="rId12">
        <w:r>
          <w:rPr>
            <w:color w:val="2F5E85"/>
            <w:u w:val="single"/>
          </w:rPr>
          <w:t>открыть источник</w:t>
        </w:r>
      </w:hyperlink>
    </w:p>
    <w:p>
      <w:pPr>
        <w:spacing w:after="60"/>
      </w:pPr>
      <w:r>
        <w:t xml:space="preserve">3. Интерфакс, 23.12.2014 — повышение цены до 39 990 ₽ и валютная зависимость: </w:t>
      </w:r>
      <w:hyperlink r:id="rId13">
        <w:r>
          <w:rPr>
            <w:color w:val="2F5E85"/>
            <w:u w:val="single"/>
          </w:rPr>
          <w:t>открыть источник</w:t>
        </w:r>
      </w:hyperlink>
    </w:p>
    <w:p>
      <w:pPr>
        <w:spacing w:after="60"/>
      </w:pPr>
      <w:r>
        <w:t xml:space="preserve">4. Ведомости, 29.05.2015 — около 35 тыс. проданных YotaPhone 2 и каналы дистрибуции: </w:t>
      </w:r>
      <w:hyperlink r:id="rId14">
        <w:r>
          <w:rPr>
            <w:color w:val="2F5E85"/>
            <w:u w:val="single"/>
          </w:rPr>
          <w:t>открыть источник</w:t>
        </w:r>
      </w:hyperlink>
    </w:p>
    <w:p>
      <w:pPr>
        <w:spacing w:after="60"/>
      </w:pPr>
      <w:r>
        <w:t xml:space="preserve">5. Engadget, 03.12.2014 — независимый обзор: сильная идея, но нишевая и дорогая: </w:t>
      </w:r>
      <w:hyperlink r:id="rId15">
        <w:r>
          <w:rPr>
            <w:color w:val="2F5E85"/>
            <w:u w:val="single"/>
          </w:rPr>
          <w:t>открыть источник</w:t>
        </w:r>
      </w:hyperlink>
    </w:p>
    <w:p>
      <w:pPr>
        <w:spacing w:after="60"/>
      </w:pPr>
      <w:r>
        <w:t xml:space="preserve">6. WIRED, 18.12.2014 — независимый обзор: полезность E-Ink и ограничения продукта: </w:t>
      </w:r>
      <w:hyperlink r:id="rId16">
        <w:r>
          <w:rPr>
            <w:color w:val="2F5E85"/>
            <w:u w:val="single"/>
          </w:rPr>
          <w:t>открыть источник</w:t>
        </w:r>
      </w:hyperlink>
    </w:p>
    <w:p>
      <w:pPr>
        <w:spacing w:after="60"/>
      </w:pPr>
      <w:r>
        <w:t xml:space="preserve">7. Engadget, 31.07.2015 — отмена запуска в США после краудфандинга из-за производственных задержек: </w:t>
      </w:r>
      <w:hyperlink r:id="rId17">
        <w:r>
          <w:rPr>
            <w:color w:val="2F5E85"/>
            <w:u w:val="single"/>
          </w:rPr>
          <w:t>открыть источник</w:t>
        </w:r>
      </w:hyperlink>
    </w:p>
    <w:p>
      <w:pPr>
        <w:spacing w:after="60"/>
      </w:pPr>
      <w:r>
        <w:t xml:space="preserve">8. Коммерсантъ, 01.12.2015 — снижение цены YotaPhone 2 до 21 990 ₽ в России: </w:t>
      </w:r>
      <w:hyperlink r:id="rId18">
        <w:r>
          <w:rPr>
            <w:color w:val="2F5E85"/>
            <w:u w:val="single"/>
          </w:rPr>
          <w:t>открыть источник</w:t>
        </w:r>
      </w:hyperlink>
    </w:p>
    <w:p>
      <w:pPr>
        <w:spacing w:after="60"/>
      </w:pPr>
      <w:r>
        <w:t xml:space="preserve">9. Ведомости, 08.09.2016 — 63 тыс. к сентябрю 2015, 96 тыс. к концу 2015 и перенос YotaPhone 3: </w:t>
      </w:r>
      <w:hyperlink r:id="rId19">
        <w:r>
          <w:rPr>
            <w:color w:val="2F5E85"/>
            <w:u w:val="single"/>
          </w:rPr>
          <w:t>открыть источник</w:t>
        </w:r>
      </w:hyperlink>
    </w:p>
    <w:p>
      <w:pPr>
        <w:spacing w:after="60"/>
      </w:pPr>
      <w:r>
        <w:t xml:space="preserve">10. Ведомости, 25.11.2016 — убыток около $7,8 млн за пять месяцев и долговой контур: </w:t>
      </w:r>
      <w:hyperlink r:id="rId20">
        <w:r>
          <w:rPr>
            <w:color w:val="2F5E85"/>
            <w:u w:val="single"/>
          </w:rPr>
          <w:t>открыть источник</w:t>
        </w:r>
      </w:hyperlink>
    </w:p>
    <w:p>
      <w:pPr>
        <w:spacing w:after="60"/>
      </w:pPr>
      <w:r>
        <w:t xml:space="preserve">11. Ведомости, 16.06.2017 — отсутствие денег на массовое производство YotaPhone 3 и переносы: </w:t>
      </w:r>
      <w:hyperlink r:id="rId21">
        <w:r>
          <w:rPr>
            <w:color w:val="2F5E85"/>
            <w:u w:val="single"/>
          </w:rPr>
          <w:t>открыть источник</w:t>
        </w:r>
      </w:hyperlink>
    </w:p>
    <w:p>
      <w:pPr>
        <w:spacing w:after="60"/>
      </w:pPr>
      <w:r>
        <w:t xml:space="preserve">12. Ростех, 23.08.2017 — запуск YOTA3 в Китае и заявленная цель более 1 млн устройств: </w:t>
      </w:r>
      <w:hyperlink r:id="rId22">
        <w:r>
          <w:rPr>
            <w:color w:val="2F5E85"/>
            <w:u w:val="single"/>
          </w:rPr>
          <w:t>открыть источник</w:t>
        </w:r>
      </w:hyperlink>
    </w:p>
    <w:p>
      <w:pPr>
        <w:spacing w:after="60"/>
      </w:pPr>
      <w:r>
        <w:t xml:space="preserve">13. CNews, 18.04.2019 — банкротство головной структуры и спор с Hi-P Electronics: </w:t>
      </w:r>
      <w:hyperlink r:id="rId23">
        <w:r>
          <w:rPr>
            <w:color w:val="2F5E85"/>
            <w:u w:val="single"/>
          </w:rPr>
          <w:t>открыть источник</w:t>
        </w:r>
      </w:hyperlink>
    </w:p>
    <w:p>
      <w:pPr>
        <w:spacing w:after="60"/>
      </w:pPr>
      <w:r>
        <w:t xml:space="preserve">14. CNews, 20.05.2019 — структура сделки с China Baoli и последствия спора с поставщиком: </w:t>
      </w:r>
      <w:hyperlink r:id="rId24">
        <w:r>
          <w:rPr>
            <w:color w:val="2F5E85"/>
            <w:u w:val="single"/>
          </w:rPr>
          <w:t>открыть источник</w:t>
        </w:r>
      </w:hyperlink>
    </w:p>
    <w:p>
      <w:pPr>
        <w:spacing w:after="60"/>
      </w:pPr>
      <w:r>
        <w:t xml:space="preserve">15. Словарь «Бизнес под микроскопом» — Product-market fit, sell-through, BOM, MOQ и другие термины: </w:t>
      </w:r>
      <w:hyperlink r:id="rId25">
        <w:r>
          <w:rPr>
            <w:color w:val="2F5E85"/>
            <w:u w:val="single"/>
          </w:rPr>
          <w:t>открыть источник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97181"/>
        <w:sz w:val="16"/>
      </w:rPr>
      <w:t>bizmicroscope.ru   ·   Фактчек: 04.09.2026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/>
        <w:b/>
        <w:color w:val="0E1E35"/>
        <w:sz w:val="16"/>
      </w:rPr>
      <w:t>БИЗНЕС ПОД МИКРОСКОПОМ</w:t>
    </w:r>
    <w:r>
      <w:rPr>
        <w:sz w:val="16"/>
      </w:rPr>
      <w:t xml:space="preserve">   ·   РАЗБИРАЕМ. АНАЛИЗИРУЕМ. ОБЪЯСНЯЕМ.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color w:val="1D27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E1E3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B3976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E1E35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E1E3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Arial" w:hAnsi="Arial"/>
      <w:color w:val="697181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vedomosti.ru/technology/articles/2014/12/02/yotaphone-2-budet-stoit-32-990-rublej-v-rossii" TargetMode="External"/><Relationship Id="rId12" Type="http://schemas.openxmlformats.org/officeDocument/2006/relationships/hyperlink" Target="https://www.kommersant.ru/Doc/2623997" TargetMode="External"/><Relationship Id="rId13" Type="http://schemas.openxmlformats.org/officeDocument/2006/relationships/hyperlink" Target="https://www.interfax.ru/russia/415044" TargetMode="External"/><Relationship Id="rId14" Type="http://schemas.openxmlformats.org/officeDocument/2006/relationships/hyperlink" Target="https://www.vedomosti.ru/technology/articles/2015/05/29/594411-za-polgoda-prodano-35-000-yotaphone-2" TargetMode="External"/><Relationship Id="rId15" Type="http://schemas.openxmlformats.org/officeDocument/2006/relationships/hyperlink" Target="https://www.engadget.com/2014-12-03-yotaphone-2-review.html" TargetMode="External"/><Relationship Id="rId16" Type="http://schemas.openxmlformats.org/officeDocument/2006/relationships/hyperlink" Target="https://www.wired.com/2014/12/yotaphone-2/" TargetMode="External"/><Relationship Id="rId17" Type="http://schemas.openxmlformats.org/officeDocument/2006/relationships/hyperlink" Target="https://www.engadget.com/2015-07-31-yotaphone-2-us-launch-canceled.html" TargetMode="External"/><Relationship Id="rId18" Type="http://schemas.openxmlformats.org/officeDocument/2006/relationships/hyperlink" Target="https://www.kommersant.ru/doc/2866593" TargetMode="External"/><Relationship Id="rId19" Type="http://schemas.openxmlformats.org/officeDocument/2006/relationships/hyperlink" Target="https://www.vedomosti.ru/technology/articles/2016/09/09/656297-yota-devices" TargetMode="External"/><Relationship Id="rId20" Type="http://schemas.openxmlformats.org/officeDocument/2006/relationships/hyperlink" Target="https://www.vedomosti.ru/technology/articles/2016/11/25/666880-yotaphone-ubitki" TargetMode="External"/><Relationship Id="rId21" Type="http://schemas.openxmlformats.org/officeDocument/2006/relationships/hyperlink" Target="https://www.vedomosti.ru/technology/articles/2017/06/16/694795-yotaphone-3" TargetMode="External"/><Relationship Id="rId22" Type="http://schemas.openxmlformats.org/officeDocument/2006/relationships/hyperlink" Target="https://rostec.ru/media/pressrelease/4520934/" TargetMode="External"/><Relationship Id="rId23" Type="http://schemas.openxmlformats.org/officeDocument/2006/relationships/hyperlink" Target="https://www.cnews.ru/news/top/2019-04-18_sozdatel_yotaphone_bankrot" TargetMode="External"/><Relationship Id="rId24" Type="http://schemas.openxmlformats.org/officeDocument/2006/relationships/hyperlink" Target="https://www.cnews.ru/news/top/2019-05-13_kak_kitajtsy_pokupali_yotaphone_i_pochemu_ne_ostanovili" TargetMode="External"/><Relationship Id="rId25" Type="http://schemas.openxmlformats.org/officeDocument/2006/relationships/hyperlink" Target="https://bizmicroscope.ru/knowledge/glossar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