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left"/>
      </w:pPr>
      <w:r>
        <w:rPr>
          <w:b/>
          <w:color w:val="C99A42"/>
          <w:sz w:val="18"/>
        </w:rPr>
        <w:t>БИЗНЕС ПОД МИКРОСКОПОМ</w:t>
      </w:r>
    </w:p>
    <w:p>
      <w:pPr>
        <w:pStyle w:val="Title"/>
      </w:pPr>
      <w:r>
        <w:t>Юлмарт: профессиональное досье причин провала</w:t>
      </w:r>
    </w:p>
    <w:p>
      <w:r>
        <w:rPr>
          <w:i/>
          <w:color w:val="6D6962"/>
          <w:sz w:val="22"/>
        </w:rPr>
        <w:t>Как отличить сильную бизнес-модель от бизнеса, который растёт быстрее своей ликвидности и системы управления</w:t>
      </w:r>
    </w:p>
    <w:p>
      <w:r>
        <w:rPr>
          <w:color w:val="6D6962"/>
          <w:sz w:val="18"/>
        </w:rPr>
        <w:t>Актуальность фактчека: 22 августа 2026 года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0200"/>
      </w:tblGrid>
      <w:tr>
        <w:tc>
          <w:tcPr>
            <w:tcW w:type="dxa" w:w="10200"/>
            <w:shd w:fill="F1E9DB"/>
            <w:tcMar>
              <w:top w:w="120" w:type="dxa"/>
              <w:start w:w="180" w:type="dxa"/>
              <w:bottom w:w="120" w:type="dxa"/>
              <w:end w:w="180" w:type="dxa"/>
            </w:tcMar>
          </w:tcPr>
          <w:p>
            <w:r>
              <w:rPr>
                <w:b/>
                <w:color w:val="C99A42"/>
                <w:sz w:val="21"/>
              </w:rPr>
              <w:t>Главный вывод</w:t>
            </w:r>
          </w:p>
          <w:p>
            <w:pPr>
              <w:spacing w:after="0"/>
            </w:pPr>
            <w:r>
              <w:t>«Юлмарт» был не провалом плохого продукта. Компания доказала спрос на российский e-commerce задолго до эпохи нынешних маркетплейсов. Урок в другом: сильный продукт не защищает от капиталоёмкого роста, зависимости от внешнего финансирования и корпоративного deadlock.</w:t>
            </w:r>
          </w:p>
        </w:tc>
      </w:tr>
    </w:tbl>
    <w:p>
      <w:pPr>
        <w:spacing w:after="20"/>
      </w:pPr>
    </w:p>
    <w:p>
      <w:pPr>
        <w:pStyle w:val="Heading1"/>
      </w:pPr>
      <w:r>
        <w:t>Как работать с досье</w:t>
      </w:r>
    </w:p>
    <w:p>
      <w:pPr>
        <w:pStyle w:val="ListBullet"/>
      </w:pPr>
      <w:r>
        <w:t>Сначала прочитайте хронологию и причинную карту, чтобы не сводить историю к одной причине.</w:t>
      </w:r>
    </w:p>
    <w:p>
      <w:pPr>
        <w:pStyle w:val="ListBullet"/>
      </w:pPr>
      <w:r>
        <w:t>Затем сравните ранние сигналы «Юлмарта» с собственным бизнесом: ликвидность, долг, оборотный капитал, фиксированные расходы, финансирование и управление.</w:t>
      </w:r>
    </w:p>
    <w:p>
      <w:pPr>
        <w:pStyle w:val="ListBullet"/>
      </w:pPr>
      <w:r>
        <w:t>После этого откройте Excel-стресс-тест из комплекта и внесите свои данные.</w:t>
      </w:r>
    </w:p>
    <w:p>
      <w:pPr>
        <w:pStyle w:val="ListBullet"/>
      </w:pPr>
      <w:r>
        <w:t>Если 3–4 критических сигнала возникают одновременно, переходите к матрице решений и 90-дневному антикризисному playbook.</w:t>
      </w:r>
    </w:p>
    <w:p>
      <w:pPr>
        <w:pStyle w:val="Heading1"/>
      </w:pPr>
      <w:r>
        <w:t>1. Короткая хронология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400"/>
        <w:gridCol w:w="3400"/>
        <w:gridCol w:w="3400"/>
      </w:tblGrid>
      <w:tr>
        <w:tc>
          <w:tcPr>
            <w:tcW w:type="dxa" w:w="3400"/>
            <w:shd w:fill="10223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>
              <w:rPr>
                <w:b/>
                <w:color w:val="FFFFFF"/>
                <w:sz w:val="18"/>
              </w:rPr>
              <w:t>Период</w:t>
            </w:r>
          </w:p>
        </w:tc>
        <w:tc>
          <w:tcPr>
            <w:tcW w:type="dxa" w:w="3400"/>
            <w:shd w:fill="10223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>
              <w:rPr>
                <w:b/>
                <w:color w:val="FFFFFF"/>
                <w:sz w:val="18"/>
              </w:rPr>
              <w:t>Что происходило</w:t>
            </w:r>
          </w:p>
        </w:tc>
        <w:tc>
          <w:tcPr>
            <w:tcW w:type="dxa" w:w="3400"/>
            <w:shd w:fill="10223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>
              <w:rPr>
                <w:b/>
                <w:color w:val="FFFFFF"/>
                <w:sz w:val="18"/>
              </w:rPr>
              <w:t>Почему это важно</w:t>
            </w:r>
          </w:p>
        </w:tc>
      </w:tr>
      <w:tr>
        <w:tc>
          <w:tcPr>
            <w:tcW w:type="dxa" w:w="3400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r>
              <w:rPr>
                <w:sz w:val="17"/>
              </w:rPr>
              <w:t>2008–2013</w:t>
            </w:r>
          </w:p>
        </w:tc>
        <w:tc>
          <w:tcPr>
            <w:tcW w:type="dxa" w:w="3400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r>
              <w:rPr>
                <w:sz w:val="17"/>
              </w:rPr>
              <w:t>Запуск и быстрый рост. По итогам 2013 года продажи достигли 39,7 млрд ₽ с НДС; компания первой среди российских e-commerce игроков сообщала о продажах более $1 млрд.</w:t>
            </w:r>
          </w:p>
        </w:tc>
        <w:tc>
          <w:tcPr>
            <w:tcW w:type="dxa" w:w="3400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r>
              <w:rPr>
                <w:sz w:val="17"/>
              </w:rPr>
              <w:t>Модель доказала масштабируемость спроса.</w:t>
            </w:r>
          </w:p>
        </w:tc>
      </w:tr>
      <w:tr>
        <w:tc>
          <w:tcPr>
            <w:tcW w:type="dxa" w:w="3400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r>
              <w:rPr>
                <w:sz w:val="17"/>
              </w:rPr>
              <w:t>2014–2015</w:t>
            </w:r>
          </w:p>
        </w:tc>
        <w:tc>
          <w:tcPr>
            <w:tcW w:type="dxa" w:w="3400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r>
              <w:rPr>
                <w:sz w:val="17"/>
              </w:rPr>
              <w:t>Расширение инфраструктуры; более 400 точек разных форматов, 32 центра исполнения заказов. Обсуждение стратегического инвестора и IPO.</w:t>
            </w:r>
          </w:p>
        </w:tc>
        <w:tc>
          <w:tcPr>
            <w:tcW w:type="dxa" w:w="3400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r>
              <w:rPr>
                <w:sz w:val="17"/>
              </w:rPr>
              <w:t>Рост требовал новых инвестиций и оборотного капитала.</w:t>
            </w:r>
          </w:p>
        </w:tc>
      </w:tr>
      <w:tr>
        <w:tc>
          <w:tcPr>
            <w:tcW w:type="dxa" w:w="3400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r>
              <w:rPr>
                <w:sz w:val="17"/>
              </w:rPr>
              <w:t>2015–2016</w:t>
            </w:r>
          </w:p>
        </w:tc>
        <w:tc>
          <w:tcPr>
            <w:tcW w:type="dxa" w:w="3400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r>
              <w:rPr>
                <w:sz w:val="17"/>
              </w:rPr>
              <w:t>Планы IPO на $1 млрд при предварительной оценке $5–6 млрд. В 2015 году продажи около 61–62,7 млрд ₽, EBITDA характеризовалась как слабо положительная.</w:t>
            </w:r>
          </w:p>
        </w:tc>
        <w:tc>
          <w:tcPr>
            <w:tcW w:type="dxa" w:w="3400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r>
              <w:rPr>
                <w:sz w:val="17"/>
              </w:rPr>
              <w:t>Высокий оборот не означал высокий свободный денежный поток.</w:t>
            </w:r>
          </w:p>
        </w:tc>
      </w:tr>
      <w:tr>
        <w:tc>
          <w:tcPr>
            <w:tcW w:type="dxa" w:w="3400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r>
              <w:rPr>
                <w:sz w:val="17"/>
              </w:rPr>
              <w:t>2016–2019</w:t>
            </w:r>
          </w:p>
        </w:tc>
        <w:tc>
          <w:tcPr>
            <w:tcW w:type="dxa" w:w="3400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r>
              <w:rPr>
                <w:sz w:val="17"/>
              </w:rPr>
              <w:t>Развитие конфликта акционеров, судебные споры, сложности с докапитализацией и переговорами с кредиторами.</w:t>
            </w:r>
          </w:p>
        </w:tc>
        <w:tc>
          <w:tcPr>
            <w:tcW w:type="dxa" w:w="3400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r>
              <w:rPr>
                <w:sz w:val="17"/>
              </w:rPr>
              <w:t>Управленческий конфликт стал финансовым фактором.</w:t>
            </w:r>
          </w:p>
        </w:tc>
      </w:tr>
      <w:tr>
        <w:tc>
          <w:tcPr>
            <w:tcW w:type="dxa" w:w="3400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r>
              <w:rPr>
                <w:sz w:val="17"/>
              </w:rPr>
              <w:t>2020–2021</w:t>
            </w:r>
          </w:p>
        </w:tc>
        <w:tc>
          <w:tcPr>
            <w:tcW w:type="dxa" w:w="3400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r>
              <w:rPr>
                <w:sz w:val="17"/>
              </w:rPr>
              <w:t>Фактическое прекращение работы; банкротство НАО «Юлмарт» и операционных структур. ООО «Юлмаркет» оценивало свои долги в 4,4 млрд ₽.</w:t>
            </w:r>
          </w:p>
        </w:tc>
        <w:tc>
          <w:tcPr>
            <w:tcW w:type="dxa" w:w="3400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r>
              <w:rPr>
                <w:sz w:val="17"/>
              </w:rPr>
              <w:t>Кризис перешёл из управленческого в юридический.</w:t>
            </w:r>
          </w:p>
        </w:tc>
      </w:tr>
      <w:tr>
        <w:tc>
          <w:tcPr>
            <w:tcW w:type="dxa" w:w="3400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r>
              <w:rPr>
                <w:sz w:val="17"/>
              </w:rPr>
              <w:t>2024</w:t>
            </w:r>
          </w:p>
        </w:tc>
        <w:tc>
          <w:tcPr>
            <w:tcW w:type="dxa" w:w="3400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r>
              <w:rPr>
                <w:sz w:val="17"/>
              </w:rPr>
              <w:t>Конкурсное производство НАО «Юлмарт» завершено; юрлицо ликвидировано. В реестр были включены требования кредиторов на 6,3 млрд ₽.</w:t>
            </w:r>
          </w:p>
        </w:tc>
        <w:tc>
          <w:tcPr>
            <w:tcW w:type="dxa" w:w="3400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r>
              <w:rPr>
                <w:sz w:val="17"/>
              </w:rPr>
              <w:t>Финальная точка банкротного процесса длиной около 7,5 лет.</w:t>
            </w:r>
          </w:p>
        </w:tc>
      </w:tr>
    </w:tbl>
    <w:p>
      <w:pPr>
        <w:pStyle w:val="Heading1"/>
      </w:pPr>
      <w:r>
        <w:t>2. Почему модель была сильной</w:t>
      </w:r>
    </w:p>
    <w:p>
      <w:r>
        <w:t>«Юлмарт» сочетал интернет-заказ, собственную логистическую инфраструктуру, центры исполнения заказов и сеть точек получения. В начале 2010-х это давало контроль над скоростью, ассортиментом и клиентским опытом.</w:t>
      </w:r>
    </w:p>
    <w:p>
      <w:r>
        <w:t>Слабость была зеркальной стороной силы: та же инфраструктура делала рост капиталоёмким. Новые объекты, товарные запасы, логистика, IT и региональная экспансия требовали постоянного финансирования.</w:t>
      </w:r>
    </w:p>
    <w:p>
      <w:pPr>
        <w:pStyle w:val="Heading1"/>
      </w:pPr>
      <w:r>
        <w:t>3. Причинная карта провала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50"/>
        <w:gridCol w:w="2550"/>
        <w:gridCol w:w="2550"/>
        <w:gridCol w:w="2550"/>
      </w:tblGrid>
      <w:tr>
        <w:tc>
          <w:tcPr>
            <w:tcW w:type="dxa" w:w="2550"/>
            <w:shd w:fill="10223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>
              <w:rPr>
                <w:b/>
                <w:color w:val="FFFFFF"/>
                <w:sz w:val="18"/>
              </w:rPr>
              <w:t>Контур</w:t>
            </w:r>
          </w:p>
        </w:tc>
        <w:tc>
          <w:tcPr>
            <w:tcW w:type="dxa" w:w="2550"/>
            <w:shd w:fill="10223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>
              <w:rPr>
                <w:b/>
                <w:color w:val="FFFFFF"/>
                <w:sz w:val="18"/>
              </w:rPr>
              <w:t>Наблюдаемый фактор</w:t>
            </w:r>
          </w:p>
        </w:tc>
        <w:tc>
          <w:tcPr>
            <w:tcW w:type="dxa" w:w="2550"/>
            <w:shd w:fill="10223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>
              <w:rPr>
                <w:b/>
                <w:color w:val="FFFFFF"/>
                <w:sz w:val="18"/>
              </w:rPr>
              <w:t>Механизм риска</w:t>
            </w:r>
          </w:p>
        </w:tc>
        <w:tc>
          <w:tcPr>
            <w:tcW w:type="dxa" w:w="2550"/>
            <w:shd w:fill="10223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>
              <w:rPr>
                <w:b/>
                <w:color w:val="FFFFFF"/>
                <w:sz w:val="18"/>
              </w:rPr>
              <w:t>Урок для бизнеса</w:t>
            </w:r>
          </w:p>
        </w:tc>
      </w:tr>
      <w:tr>
        <w:tc>
          <w:tcPr>
            <w:tcW w:type="dxa" w:w="2550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r>
              <w:rPr>
                <w:sz w:val="17"/>
              </w:rPr>
              <w:t>Рост</w:t>
            </w:r>
          </w:p>
        </w:tc>
        <w:tc>
          <w:tcPr>
            <w:tcW w:type="dxa" w:w="2550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r>
              <w:rPr>
                <w:sz w:val="17"/>
              </w:rPr>
              <w:t>Крупная физическая инфраструктура и экспансия</w:t>
            </w:r>
          </w:p>
        </w:tc>
        <w:tc>
          <w:tcPr>
            <w:tcW w:type="dxa" w:w="2550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r>
              <w:rPr>
                <w:sz w:val="17"/>
              </w:rPr>
              <w:t>Капитал связывается быстрее, чем превращается в свободный денежный поток</w:t>
            </w:r>
          </w:p>
        </w:tc>
        <w:tc>
          <w:tcPr>
            <w:tcW w:type="dxa" w:w="2550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r>
              <w:rPr>
                <w:sz w:val="17"/>
              </w:rPr>
              <w:t>Рост должен иметь лимит по cash-flow и сроку окупаемости</w:t>
            </w:r>
          </w:p>
        </w:tc>
      </w:tr>
      <w:tr>
        <w:tc>
          <w:tcPr>
            <w:tcW w:type="dxa" w:w="2550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r>
              <w:rPr>
                <w:sz w:val="17"/>
              </w:rPr>
              <w:t>Оборотный капитал</w:t>
            </w:r>
          </w:p>
        </w:tc>
        <w:tc>
          <w:tcPr>
            <w:tcW w:type="dxa" w:w="2550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r>
              <w:rPr>
                <w:sz w:val="17"/>
              </w:rPr>
              <w:t>Большой товарный оборот и потребность в запасах</w:t>
            </w:r>
          </w:p>
        </w:tc>
        <w:tc>
          <w:tcPr>
            <w:tcW w:type="dxa" w:w="2550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r>
              <w:rPr>
                <w:sz w:val="17"/>
              </w:rPr>
              <w:t>Деньги замораживаются в товаре, а поставщикам и банкам нужно платить по графику</w:t>
            </w:r>
          </w:p>
        </w:tc>
        <w:tc>
          <w:tcPr>
            <w:tcW w:type="dxa" w:w="2550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r>
              <w:rPr>
                <w:sz w:val="17"/>
              </w:rPr>
              <w:t>Продажи ≠ ликвидность</w:t>
            </w:r>
          </w:p>
        </w:tc>
      </w:tr>
      <w:tr>
        <w:tc>
          <w:tcPr>
            <w:tcW w:type="dxa" w:w="2550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r>
              <w:rPr>
                <w:sz w:val="17"/>
              </w:rPr>
              <w:t>Финансирование</w:t>
            </w:r>
          </w:p>
        </w:tc>
        <w:tc>
          <w:tcPr>
            <w:tcW w:type="dxa" w:w="2550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r>
              <w:rPr>
                <w:sz w:val="17"/>
              </w:rPr>
              <w:t>Ожидание стратегического капитала/IPO</w:t>
            </w:r>
          </w:p>
        </w:tc>
        <w:tc>
          <w:tcPr>
            <w:tcW w:type="dxa" w:w="2550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r>
              <w:rPr>
                <w:sz w:val="17"/>
              </w:rPr>
              <w:t>При переносе раунда инвестиционная программа остаётся, а источник денег исчезает</w:t>
            </w:r>
          </w:p>
        </w:tc>
        <w:tc>
          <w:tcPr>
            <w:tcW w:type="dxa" w:w="2550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r>
              <w:rPr>
                <w:sz w:val="17"/>
              </w:rPr>
              <w:t>Нужен сценарий «финансирования нет 12–24 месяца»</w:t>
            </w:r>
          </w:p>
        </w:tc>
      </w:tr>
      <w:tr>
        <w:tc>
          <w:tcPr>
            <w:tcW w:type="dxa" w:w="2550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r>
              <w:rPr>
                <w:sz w:val="17"/>
              </w:rPr>
              <w:t>Долг</w:t>
            </w:r>
          </w:p>
        </w:tc>
        <w:tc>
          <w:tcPr>
            <w:tcW w:type="dxa" w:w="2550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r>
              <w:rPr>
                <w:sz w:val="17"/>
              </w:rPr>
              <w:t>Банковские кредиты, поручительства, требования контрагентов</w:t>
            </w:r>
          </w:p>
        </w:tc>
        <w:tc>
          <w:tcPr>
            <w:tcW w:type="dxa" w:w="2550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r>
              <w:rPr>
                <w:sz w:val="17"/>
              </w:rPr>
              <w:t>Рефинансирование становится критическим условием продолжения работы</w:t>
            </w:r>
          </w:p>
        </w:tc>
        <w:tc>
          <w:tcPr>
            <w:tcW w:type="dxa" w:w="2550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r>
              <w:rPr>
                <w:sz w:val="17"/>
              </w:rPr>
              <w:t>Долг должен обслуживаться операционным денежным потоком</w:t>
            </w:r>
          </w:p>
        </w:tc>
      </w:tr>
      <w:tr>
        <w:tc>
          <w:tcPr>
            <w:tcW w:type="dxa" w:w="2550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r>
              <w:rPr>
                <w:sz w:val="17"/>
              </w:rPr>
              <w:t>Управление</w:t>
            </w:r>
          </w:p>
        </w:tc>
        <w:tc>
          <w:tcPr>
            <w:tcW w:type="dxa" w:w="2550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r>
              <w:rPr>
                <w:sz w:val="17"/>
              </w:rPr>
              <w:t>Конфликт акционеров и блокировка решений</w:t>
            </w:r>
          </w:p>
        </w:tc>
        <w:tc>
          <w:tcPr>
            <w:tcW w:type="dxa" w:w="2550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r>
              <w:rPr>
                <w:sz w:val="17"/>
              </w:rPr>
              <w:t>Замедляются инвестиционные, кредитные и стратегические решения</w:t>
            </w:r>
          </w:p>
        </w:tc>
        <w:tc>
          <w:tcPr>
            <w:tcW w:type="dxa" w:w="2550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r>
              <w:rPr>
                <w:sz w:val="17"/>
              </w:rPr>
              <w:t>Deadlock — финансовый риск, а не только юридическая проблема</w:t>
            </w:r>
          </w:p>
        </w:tc>
      </w:tr>
      <w:tr>
        <w:tc>
          <w:tcPr>
            <w:tcW w:type="dxa" w:w="2550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r>
              <w:rPr>
                <w:sz w:val="17"/>
              </w:rPr>
              <w:t>Время</w:t>
            </w:r>
          </w:p>
        </w:tc>
        <w:tc>
          <w:tcPr>
            <w:tcW w:type="dxa" w:w="2550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r>
              <w:rPr>
                <w:sz w:val="17"/>
              </w:rPr>
              <w:t>Кризис тянется годами</w:t>
            </w:r>
          </w:p>
        </w:tc>
        <w:tc>
          <w:tcPr>
            <w:tcW w:type="dxa" w:w="2550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r>
              <w:rPr>
                <w:sz w:val="17"/>
              </w:rPr>
              <w:t>Каждый месяц сжигает ликвидность и ухудшает переговорную позицию</w:t>
            </w:r>
          </w:p>
        </w:tc>
        <w:tc>
          <w:tcPr>
            <w:tcW w:type="dxa" w:w="2550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r>
              <w:rPr>
                <w:sz w:val="17"/>
              </w:rPr>
              <w:t>Реструктуризация должна начинаться до просрочки</w:t>
            </w:r>
          </w:p>
        </w:tc>
      </w:tr>
    </w:tbl>
    <w:p>
      <w:pPr>
        <w:pStyle w:val="Heading1"/>
      </w:pPr>
      <w:r>
        <w:t>4. Пять показателей, которые выручка маскирует</w:t>
      </w:r>
    </w:p>
    <w:p>
      <w:pPr>
        <w:pStyle w:val="ListBullet"/>
      </w:pPr>
      <w:r>
        <w:t>Операционный cash-flow: создаёт ли основной бизнес деньги после оплаты запасов и текущих расходов?</w:t>
      </w:r>
    </w:p>
    <w:p>
      <w:pPr>
        <w:pStyle w:val="ListBullet"/>
      </w:pPr>
      <w:r>
        <w:t>Свободный cash-flow: остаётся ли денежный поток после CAPEX?</w:t>
      </w:r>
    </w:p>
    <w:p>
      <w:pPr>
        <w:pStyle w:val="ListBullet"/>
      </w:pPr>
      <w:r>
        <w:t>Cash runway: сколько недель/месяцев бизнес проживёт без нового финансирования?</w:t>
      </w:r>
    </w:p>
    <w:p>
      <w:pPr>
        <w:pStyle w:val="ListBullet"/>
      </w:pPr>
      <w:r>
        <w:t>Debt service coverage: хватает ли операционного денежного потока на проценты и погашения?</w:t>
      </w:r>
    </w:p>
    <w:p>
      <w:pPr>
        <w:pStyle w:val="ListBullet"/>
      </w:pPr>
      <w:r>
        <w:t>Working capital gap: насколько рост выручки увеличивает потребность в запасах, дебиторке и кредиторке?</w:t>
      </w:r>
    </w:p>
    <w:p>
      <w:pPr>
        <w:pStyle w:val="Heading1"/>
      </w:pPr>
      <w:r>
        <w:t>5. Ранние сигналы, которые нельзя объяснять «временными трудностями»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400"/>
        <w:gridCol w:w="3400"/>
        <w:gridCol w:w="3400"/>
      </w:tblGrid>
      <w:tr>
        <w:tc>
          <w:tcPr>
            <w:tcW w:type="dxa" w:w="3400"/>
            <w:shd w:fill="10223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>
              <w:rPr>
                <w:b/>
                <w:color w:val="FFFFFF"/>
                <w:sz w:val="18"/>
              </w:rPr>
              <w:t>Сигнал</w:t>
            </w:r>
          </w:p>
        </w:tc>
        <w:tc>
          <w:tcPr>
            <w:tcW w:type="dxa" w:w="3400"/>
            <w:shd w:fill="10223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>
              <w:rPr>
                <w:b/>
                <w:color w:val="FFFFFF"/>
                <w:sz w:val="18"/>
              </w:rPr>
              <w:t>Жёлтая зона</w:t>
            </w:r>
          </w:p>
        </w:tc>
        <w:tc>
          <w:tcPr>
            <w:tcW w:type="dxa" w:w="3400"/>
            <w:shd w:fill="10223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>
              <w:rPr>
                <w:b/>
                <w:color w:val="FFFFFF"/>
                <w:sz w:val="18"/>
              </w:rPr>
              <w:t>Красная зона</w:t>
            </w:r>
          </w:p>
        </w:tc>
      </w:tr>
      <w:tr>
        <w:tc>
          <w:tcPr>
            <w:tcW w:type="dxa" w:w="3400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r>
              <w:rPr>
                <w:sz w:val="17"/>
              </w:rPr>
              <w:t>13-недельный cash-flow</w:t>
            </w:r>
          </w:p>
        </w:tc>
        <w:tc>
          <w:tcPr>
            <w:tcW w:type="dxa" w:w="3400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r>
              <w:rPr>
                <w:sz w:val="17"/>
              </w:rPr>
              <w:t>Есть недели с остатком &lt; 1 месяца фиксированных расходов</w:t>
            </w:r>
          </w:p>
        </w:tc>
        <w:tc>
          <w:tcPr>
            <w:tcW w:type="dxa" w:w="3400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r>
              <w:rPr>
                <w:sz w:val="17"/>
              </w:rPr>
              <w:t>Прогнозный отрицательный остаток без нового кредита/взноса собственника</w:t>
            </w:r>
          </w:p>
        </w:tc>
      </w:tr>
      <w:tr>
        <w:tc>
          <w:tcPr>
            <w:tcW w:type="dxa" w:w="3400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r>
              <w:rPr>
                <w:sz w:val="17"/>
              </w:rPr>
              <w:t>Новый капитал</w:t>
            </w:r>
          </w:p>
        </w:tc>
        <w:tc>
          <w:tcPr>
            <w:tcW w:type="dxa" w:w="3400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r>
              <w:rPr>
                <w:sz w:val="17"/>
              </w:rPr>
              <w:t>Финансирование постоянно переносится</w:t>
            </w:r>
          </w:p>
        </w:tc>
        <w:tc>
          <w:tcPr>
            <w:tcW w:type="dxa" w:w="3400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r>
              <w:rPr>
                <w:sz w:val="17"/>
              </w:rPr>
              <w:t>Без следующего раунда бизнес нарушит обязательства</w:t>
            </w:r>
          </w:p>
        </w:tc>
      </w:tr>
      <w:tr>
        <w:tc>
          <w:tcPr>
            <w:tcW w:type="dxa" w:w="3400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r>
              <w:rPr>
                <w:sz w:val="17"/>
              </w:rPr>
              <w:t>Долг</w:t>
            </w:r>
          </w:p>
        </w:tc>
        <w:tc>
          <w:tcPr>
            <w:tcW w:type="dxa" w:w="3400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r>
              <w:rPr>
                <w:sz w:val="17"/>
              </w:rPr>
              <w:t>Растёт доля краткосрочного долга</w:t>
            </w:r>
          </w:p>
        </w:tc>
        <w:tc>
          <w:tcPr>
            <w:tcW w:type="dxa" w:w="3400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r>
              <w:rPr>
                <w:sz w:val="17"/>
              </w:rPr>
              <w:t>Нужно рефинансирование, чтобы погасить старый долг</w:t>
            </w:r>
          </w:p>
        </w:tc>
      </w:tr>
      <w:tr>
        <w:tc>
          <w:tcPr>
            <w:tcW w:type="dxa" w:w="3400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r>
              <w:rPr>
                <w:sz w:val="17"/>
              </w:rPr>
              <w:t>Запасы</w:t>
            </w:r>
          </w:p>
        </w:tc>
        <w:tc>
          <w:tcPr>
            <w:tcW w:type="dxa" w:w="3400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r>
              <w:rPr>
                <w:sz w:val="17"/>
              </w:rPr>
              <w:t>Дни запасов растут быстрее выручки</w:t>
            </w:r>
          </w:p>
        </w:tc>
        <w:tc>
          <w:tcPr>
            <w:tcW w:type="dxa" w:w="3400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r>
              <w:rPr>
                <w:sz w:val="17"/>
              </w:rPr>
              <w:t>Старые запасы финансируются новым долгом</w:t>
            </w:r>
          </w:p>
        </w:tc>
      </w:tr>
      <w:tr>
        <w:tc>
          <w:tcPr>
            <w:tcW w:type="dxa" w:w="3400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r>
              <w:rPr>
                <w:sz w:val="17"/>
              </w:rPr>
              <w:t>Корпоративное управление</w:t>
            </w:r>
          </w:p>
        </w:tc>
        <w:tc>
          <w:tcPr>
            <w:tcW w:type="dxa" w:w="3400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r>
              <w:rPr>
                <w:sz w:val="17"/>
              </w:rPr>
              <w:t>Стратегические решения затягиваются</w:t>
            </w:r>
          </w:p>
        </w:tc>
        <w:tc>
          <w:tcPr>
            <w:tcW w:type="dxa" w:w="3400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r>
              <w:rPr>
                <w:sz w:val="17"/>
              </w:rPr>
              <w:t>Есть решения, которые невозможно принять из-за конфликта собственников</w:t>
            </w:r>
          </w:p>
        </w:tc>
      </w:tr>
      <w:tr>
        <w:tc>
          <w:tcPr>
            <w:tcW w:type="dxa" w:w="3400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r>
              <w:rPr>
                <w:sz w:val="17"/>
              </w:rPr>
              <w:t>CAPEX</w:t>
            </w:r>
          </w:p>
        </w:tc>
        <w:tc>
          <w:tcPr>
            <w:tcW w:type="dxa" w:w="3400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r>
              <w:rPr>
                <w:sz w:val="17"/>
              </w:rPr>
              <w:t>Новые объекты ещё не вышли на план</w:t>
            </w:r>
          </w:p>
        </w:tc>
        <w:tc>
          <w:tcPr>
            <w:tcW w:type="dxa" w:w="3400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r>
              <w:rPr>
                <w:sz w:val="17"/>
              </w:rPr>
              <w:t>CAPEX продолжается при дефиците ликвидности</w:t>
            </w:r>
          </w:p>
        </w:tc>
      </w:tr>
      <w:tr>
        <w:tc>
          <w:tcPr>
            <w:tcW w:type="dxa" w:w="3400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r>
              <w:rPr>
                <w:sz w:val="17"/>
              </w:rPr>
              <w:t>Поставщики</w:t>
            </w:r>
          </w:p>
        </w:tc>
        <w:tc>
          <w:tcPr>
            <w:tcW w:type="dxa" w:w="3400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r>
              <w:rPr>
                <w:sz w:val="17"/>
              </w:rPr>
              <w:t>Сроки оплаты сокращаются</w:t>
            </w:r>
          </w:p>
        </w:tc>
        <w:tc>
          <w:tcPr>
            <w:tcW w:type="dxa" w:w="3400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r>
              <w:rPr>
                <w:sz w:val="17"/>
              </w:rPr>
              <w:t>Переход на предоплату / блокировки поставок</w:t>
            </w:r>
          </w:p>
        </w:tc>
      </w:tr>
    </w:tbl>
    <w:p>
      <w:pPr>
        <w:pStyle w:val="Heading1"/>
      </w:pPr>
      <w:r>
        <w:t>6. Что можно было бы сделать раньше — без утверждения, что это гарантированно спасло бы компанию</w:t>
      </w:r>
    </w:p>
    <w:p>
      <w:pPr>
        <w:pStyle w:val="ListBullet"/>
      </w:pPr>
      <w:r>
        <w:t>Привязать открытие каждого нового объекта к hurdle rate и фактическому свободному cash-flow.</w:t>
      </w:r>
    </w:p>
    <w:p>
      <w:pPr>
        <w:pStyle w:val="ListBullet"/>
      </w:pPr>
      <w:r>
        <w:t>Заморозить часть инвестиционной программы сразу после ухудшения доступности капитала.</w:t>
      </w:r>
    </w:p>
    <w:p>
      <w:pPr>
        <w:pStyle w:val="ListBullet"/>
      </w:pPr>
      <w:r>
        <w:t>Ввести формальный shareholder deadlock mechanism: оценка долей, buy-sell, независимый директор, заранее заданные процедуры выхода.</w:t>
      </w:r>
    </w:p>
    <w:p>
      <w:pPr>
        <w:pStyle w:val="ListBullet"/>
      </w:pPr>
      <w:r>
        <w:t>Собрать единый 13-недельный cash-flow и кредиторский комитет до возникновения критических просрочек.</w:t>
      </w:r>
    </w:p>
    <w:p>
      <w:pPr>
        <w:pStyle w:val="ListBullet"/>
      </w:pPr>
      <w:r>
        <w:t>Разделить «продукт, который растёт» и «инфраструктуру, которую можно финансировать»: аренда/3PL/партнёрские точки могли бы снижать долю фиксированного CAPEX, если экономика это подтверждает.</w:t>
      </w:r>
    </w:p>
    <w:p>
      <w:pPr>
        <w:pStyle w:val="ListBullet"/>
      </w:pPr>
      <w:r>
        <w:t>Считать стресс-сценарий «IPO/инвестора не будет два года» как обязательный, а не как маловероятный.</w:t>
      </w:r>
    </w:p>
    <w:p>
      <w:pPr>
        <w:pStyle w:val="Heading1"/>
      </w:pPr>
      <w:r>
        <w:t>7. Как применить урок к собственному бизнесу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0200"/>
      </w:tblGrid>
      <w:tr>
        <w:tc>
          <w:tcPr>
            <w:tcW w:type="dxa" w:w="10200"/>
            <w:shd w:fill="F4EFE5"/>
            <w:tcMar>
              <w:top w:w="120" w:type="dxa"/>
              <w:start w:w="180" w:type="dxa"/>
              <w:bottom w:w="120" w:type="dxa"/>
              <w:end w:w="180" w:type="dxa"/>
            </w:tcMar>
          </w:tcPr>
          <w:p>
            <w:r>
              <w:rPr>
                <w:b/>
                <w:color w:val="102238"/>
                <w:sz w:val="21"/>
              </w:rPr>
              <w:t>Проверка на этой неделе</w:t>
            </w:r>
          </w:p>
          <w:p>
            <w:pPr>
              <w:spacing w:after="0"/>
            </w:pPr>
            <w:r>
              <w:t>Если бизнес растёт, но деньги постоянно «куда-то исчезают», не начинайте с поиска ещё одного кредита. Сначала соберите 13-недельный cash-flow, карту долга, возраст запасов/дебиторки, вклад филиалов/каналов и список решений, заблокированных собственниками или менеджментом.</w:t>
            </w:r>
          </w:p>
        </w:tc>
      </w:tr>
    </w:tbl>
    <w:p>
      <w:pPr>
        <w:spacing w:after="20"/>
      </w:pPr>
    </w:p>
    <w:p>
      <w:pPr>
        <w:pStyle w:val="Heading1"/>
      </w:pPr>
      <w:r>
        <w:t>8. Итоговая диагностика</w:t>
      </w:r>
    </w:p>
    <w:p>
      <w:r>
        <w:t>Один красный показатель ещё не означает финансовый кризис. Опасна концентрация: отрицательный cash-flow + зависимость от рефинансирования + замороженный оборотный капитал + конфликт собственников. В такой комбинации время становится отдельным финансовым ресурсом.</w:t>
      </w:r>
    </w:p>
    <w:p>
      <w:pPr>
        <w:pStyle w:val="Heading1"/>
      </w:pPr>
      <w:r>
        <w:t>Источники и фактчек</w:t>
      </w:r>
    </w:p>
    <w:p>
      <w:pPr>
        <w:pStyle w:val="ListBullet"/>
      </w:pPr>
      <w:r>
        <w:rPr>
          <w:sz w:val="17"/>
        </w:rPr>
        <w:t>Коммерсантъ — «Юлмарт» замедлил рост, 20.01.2015 — https://www.kommersant.ru/doc/2650275</w:t>
      </w:r>
    </w:p>
    <w:p>
      <w:pPr>
        <w:pStyle w:val="ListBullet"/>
      </w:pPr>
      <w:r>
        <w:rPr>
          <w:sz w:val="17"/>
        </w:rPr>
        <w:t>Коммерсантъ — «С миллиардами — на выход», 02.03.2016 — https://www.kommersant.ru/doc/2927958</w:t>
      </w:r>
    </w:p>
    <w:p>
      <w:pPr>
        <w:pStyle w:val="ListBullet"/>
      </w:pPr>
      <w:r>
        <w:rPr>
          <w:sz w:val="17"/>
        </w:rPr>
        <w:t>Коммерсантъ — «Спор торгующих субъектов», 2017 — https://www.kommersant.ru/doc/3220673</w:t>
      </w:r>
    </w:p>
    <w:p>
      <w:pPr>
        <w:pStyle w:val="ListBullet"/>
      </w:pPr>
      <w:r>
        <w:rPr>
          <w:sz w:val="17"/>
        </w:rPr>
        <w:t>Коммерсантъ — профиль «Юлмарт», 07.12.2018 — https://www.kommersant.ru/doc/3821902</w:t>
      </w:r>
    </w:p>
    <w:p>
      <w:pPr>
        <w:pStyle w:val="ListBullet"/>
      </w:pPr>
      <w:r>
        <w:rPr>
          <w:sz w:val="17"/>
        </w:rPr>
        <w:t>Коммерсантъ — «Юлмарт увяз в банкротстве», 26.02.2020 — https://www.kommersant.ru/doc/4268250</w:t>
      </w:r>
    </w:p>
    <w:p>
      <w:pPr>
        <w:pStyle w:val="ListBullet"/>
      </w:pPr>
      <w:r>
        <w:rPr>
          <w:sz w:val="17"/>
        </w:rPr>
        <w:t>Коммерсантъ — «Юлмарт накопил долги», 27.05.2020 — https://www.kommersant.ru/doc/4357159</w:t>
      </w:r>
    </w:p>
    <w:p>
      <w:pPr>
        <w:pStyle w:val="ListBullet"/>
      </w:pPr>
      <w:r>
        <w:rPr>
          <w:sz w:val="17"/>
        </w:rPr>
        <w:t>Коммерсантъ — завершение конкурсного производства НАО «Юлмарт», 21.05.2024 — https://www.kommersant.ru/doc/6713536</w:t>
      </w:r>
    </w:p>
    <w:p>
      <w:pPr>
        <w:pStyle w:val="ListBullet"/>
      </w:pPr>
      <w:r>
        <w:rPr>
          <w:sz w:val="17"/>
        </w:rPr>
        <w:t>Forbes — тег «Юлмарт», включая ретроспективу 15.12.2025 — https://www.forbes.ru/tegi/yulmart?page=2</w:t>
      </w:r>
    </w:p>
    <w:p>
      <w:r>
        <w:t>Важно: цифры по группе, отдельным юридическим лицам, кредиторским требованиям и банкротным процедурам нельзя механически складывать. В материалах они разделены по контексту и источнику.</w:t>
      </w:r>
    </w:p>
    <w:sectPr w:rsidR="00FC693F" w:rsidRPr="0006063C" w:rsidSect="00034616">
      <w:footerReference w:type="default" r:id="rId9"/>
      <w:pgSz w:w="12240" w:h="15840"/>
      <w:pgMar w:top="1020" w:right="1020" w:bottom="964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6D6962"/>
        <w:sz w:val="16"/>
      </w:rPr>
      <w:t>Бизнес под микроскопом · Разбираем. Анализируем. Объясняем.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69" w:lineRule="auto"/>
    </w:pPr>
    <w:rPr>
      <w:rFonts w:ascii="Arial" w:hAnsi="Arial"/>
      <w:color w:val="2B313A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20" w:after="120"/>
      <w:outlineLvl w:val="0"/>
    </w:pPr>
    <w:rPr>
      <w:rFonts w:asciiTheme="majorHAnsi" w:eastAsiaTheme="majorEastAsia" w:hAnsiTheme="majorHAnsi" w:cstheme="majorBidi" w:ascii="Georgia" w:hAnsi="Georgia"/>
      <w:b/>
      <w:bCs/>
      <w:color w:val="102238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20" w:after="120"/>
      <w:outlineLvl w:val="1"/>
    </w:pPr>
    <w:rPr>
      <w:rFonts w:asciiTheme="majorHAnsi" w:eastAsiaTheme="majorEastAsia" w:hAnsiTheme="majorHAnsi" w:cstheme="majorBidi" w:ascii="Georgia" w:hAnsi="Georgia"/>
      <w:b/>
      <w:bCs/>
      <w:color w:val="102238"/>
      <w:sz w:val="27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20" w:after="120"/>
      <w:outlineLvl w:val="2"/>
    </w:pPr>
    <w:rPr>
      <w:rFonts w:asciiTheme="majorHAnsi" w:eastAsiaTheme="majorEastAsia" w:hAnsiTheme="majorHAnsi" w:cstheme="majorBidi" w:ascii="Arial" w:hAnsi="Arial"/>
      <w:b/>
      <w:bCs/>
      <w:color w:val="102238"/>
      <w:sz w:val="23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120" w:line="240" w:lineRule="auto" w:before="0"/>
      <w:contextualSpacing/>
    </w:pPr>
    <w:rPr>
      <w:rFonts w:asciiTheme="majorHAnsi" w:eastAsiaTheme="majorEastAsia" w:hAnsiTheme="majorHAnsi" w:cstheme="majorBidi" w:ascii="Georgia" w:hAnsi="Georgia"/>
      <w:b/>
      <w:color w:val="102238"/>
      <w:spacing w:val="5"/>
      <w:kern w:val="28"/>
      <w:sz w:val="5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