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99A42"/>
          <w:sz w:val="18"/>
        </w:rPr>
        <w:t>БИЗНЕС ПОД МИКРОСКОПОМ</w:t>
      </w:r>
    </w:p>
    <w:p>
      <w:pPr>
        <w:pStyle w:val="Title"/>
        <w:jc w:val="center"/>
      </w:pPr>
      <w:r>
        <w:t>Жизньмарт: бизнес-модель, рост и цена масштабирования</w:t>
      </w:r>
    </w:p>
    <w:p>
      <w:pPr>
        <w:jc w:val="center"/>
      </w:pPr>
      <w:r>
        <w:rPr>
          <w:i/>
          <w:sz w:val="22"/>
        </w:rPr>
        <w:t>Профессиональное досье по рубрике «Разбор компании»</w:t>
      </w:r>
    </w:p>
    <w:p>
      <w:pPr>
        <w:jc w:val="center"/>
      </w:pPr>
      <w:r>
        <w:rPr>
          <w:color w:val="6B7280"/>
          <w:sz w:val="18"/>
        </w:rPr>
        <w:t>Актуально на 24 августа 2026 года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7F3EB"/>
            <w:tcBorders>
              <w:top w:val="single" w:sz="8" w:color="C99A42"/>
              <w:left w:val="single" w:sz="18" w:color="C99A42"/>
              <w:bottom w:val="single" w:sz="8" w:color="C99A42"/>
              <w:right w:val="single" w:sz="8" w:color="C99A42"/>
            </w:tcBorders>
          </w:tcPr>
          <w:p>
            <w:r>
              <w:rPr>
                <w:b/>
                <w:color w:val="102238"/>
                <w:sz w:val="22"/>
              </w:rPr>
              <w:t>Главный вывод</w:t>
              <w:br/>
            </w:r>
            <w:r>
              <w:t>«Жизньмарт» показывает сильную логику продуктового ритейла: частые сценарии покупки, готовая еда, высокая доля СТМ, IT-контур и франчайзинг. Но кейсы Новосибирска и Санкт-Петербурга показывают, что бренд и стандарты не заменяют доказанную экономику конкретной локации и региона.</w:t>
            </w:r>
          </w:p>
        </w:tc>
      </w:tr>
    </w:tbl>
    <w:p/>
    <w:p>
      <w:pPr>
        <w:pStyle w:val="Heading1"/>
      </w:pPr>
      <w:r>
        <w:t>1. Как пользоваться комплектом</w:t>
      </w:r>
    </w:p>
    <w:p>
      <w:pPr>
        <w:pStyle w:val="ListNumber"/>
        <w:spacing w:after="60"/>
      </w:pPr>
      <w:r>
        <w:t>Сначала прочитайте это досье, чтобы понять механику бизнеса и ограничения выводов.</w:t>
      </w:r>
    </w:p>
    <w:p>
      <w:pPr>
        <w:pStyle w:val="ListNumber"/>
        <w:spacing w:after="60"/>
      </w:pPr>
      <w:r>
        <w:t>Откройте «karta-mehanizmov-rosta-i-sboev-zhiznmart.docx» и разберите, какой механизм создаёт рост и что его ломает.</w:t>
      </w:r>
    </w:p>
    <w:p>
      <w:pPr>
        <w:pStyle w:val="ListNumber"/>
        <w:spacing w:after="60"/>
      </w:pPr>
      <w:r>
        <w:t>В «benchmark-i-proverka-tochki-gotovoy-edy-2026.xlsx» подставьте свои данные только если хотите проверить независимую точку готовой еды. Это не финансовая модель франшизы «Жизньмарт».</w:t>
      </w:r>
    </w:p>
    <w:p>
      <w:pPr>
        <w:pStyle w:val="ListNumber"/>
        <w:spacing w:after="60"/>
      </w:pPr>
      <w:r>
        <w:t>Используйте «toolkit-razbora-roznichnoy-tochki-po-principam-zhiznmart.docx» как рабочие формы: локация, ассортимент, списания, поставщики, сервис и gate масштабирования.</w:t>
      </w:r>
    </w:p>
    <w:p>
      <w:pPr>
        <w:pStyle w:val="Heading1"/>
      </w:pPr>
      <w:r>
        <w:t>2. Что за компания</w:t>
      </w:r>
    </w:p>
    <w:p>
      <w:r>
        <w:t>Первый магазин-ресторан «Жизньмарт» открылся в Екатеринбурге 5 марта 2019 года. На официальной странице франшизы на 24 августа 2026 года отображается 253 магазина, открытых по франшизе: 132 большого формата и 121 мини. Это счётчик самой сети, а не независимая перепись.</w:t>
      </w:r>
    </w:p>
    <w:p>
      <w:r>
        <w:t>Сама компания описывает формат как продуктовый «у дома» с готовой едой, кофе, кафе, самовывозом и доставкой. Смысл модели — не в том, чтобы объединить как можно больше функций, а в том, чтобы создать несколько поводов для покупки в течение дня.</w:t>
      </w:r>
    </w:p>
    <w:p>
      <w:pPr>
        <w:pStyle w:val="Heading1"/>
      </w:pPr>
      <w:r>
        <w:t>3. Из чего складывается бизнес-модель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Механизм</w:t>
            </w:r>
          </w:p>
        </w:tc>
        <w:tc>
          <w:tcPr>
            <w:tcW w:type="dxa" w:w="3408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Как проявляется</w:t>
            </w:r>
          </w:p>
        </w:tc>
        <w:tc>
          <w:tcPr>
            <w:tcW w:type="dxa" w:w="3408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Экономический смысл</w:t>
            </w:r>
          </w:p>
        </w:tc>
      </w:tr>
      <w:tr>
        <w:tc>
          <w:tcPr>
            <w:tcW w:type="dxa" w:w="3408"/>
            <w:vAlign w:val="top"/>
          </w:tcPr>
          <w:p>
            <w:r>
              <w:rPr>
                <w:sz w:val="18"/>
              </w:rPr>
              <w:t>Частые сценарии покупки</w:t>
            </w:r>
          </w:p>
        </w:tc>
        <w:tc>
          <w:tcPr>
            <w:tcW w:type="dxa" w:w="3408"/>
            <w:vAlign w:val="top"/>
          </w:tcPr>
          <w:p>
            <w:r>
              <w:rPr>
                <w:sz w:val="18"/>
              </w:rPr>
              <w:t>Завтрак, обед, перекус, ужин, бытовая продуктовая корзина</w:t>
            </w:r>
          </w:p>
        </w:tc>
        <w:tc>
          <w:tcPr>
            <w:tcW w:type="dxa" w:w="3408"/>
            <w:vAlign w:val="top"/>
          </w:tcPr>
          <w:p>
            <w:r>
              <w:rPr>
                <w:sz w:val="18"/>
              </w:rPr>
              <w:t>Повышает частоту контакта с одной и той же аудиторией</w:t>
            </w:r>
          </w:p>
        </w:tc>
      </w:tr>
      <w:tr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Готовая еда</w:t>
            </w:r>
          </w:p>
        </w:tc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Более 200 вариантов в день — заявление сети</w:t>
            </w:r>
          </w:p>
        </w:tc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Дифференциация и частота, но выше риск списаний и качества</w:t>
            </w:r>
          </w:p>
        </w:tc>
      </w:tr>
      <w:tr>
        <w:tc>
          <w:tcPr>
            <w:tcW w:type="dxa" w:w="3408"/>
            <w:vAlign w:val="top"/>
          </w:tcPr>
          <w:p>
            <w:r>
              <w:rPr>
                <w:sz w:val="18"/>
              </w:rPr>
              <w:t>СТМ</w:t>
            </w:r>
          </w:p>
        </w:tc>
        <w:tc>
          <w:tcPr>
            <w:tcW w:type="dxa" w:w="3408"/>
            <w:vAlign w:val="top"/>
          </w:tcPr>
          <w:p>
            <w:r>
              <w:rPr>
                <w:sz w:val="18"/>
              </w:rPr>
              <w:t>Официальная страница указывает свыше 95% и в другом блоке 97%</w:t>
            </w:r>
          </w:p>
        </w:tc>
        <w:tc>
          <w:tcPr>
            <w:tcW w:type="dxa" w:w="3408"/>
            <w:vAlign w:val="top"/>
          </w:tcPr>
          <w:p>
            <w:r>
              <w:rPr>
                <w:sz w:val="18"/>
              </w:rPr>
              <w:t>Уникальность и меньше прямого ценового сравнения; высокая зависимость от поставщиков</w:t>
            </w:r>
          </w:p>
        </w:tc>
      </w:tr>
      <w:tr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IT-контур</w:t>
            </w:r>
          </w:p>
        </w:tc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Единая система товародвижения, заказов, продаж и финансов — заявление сети</w:t>
            </w:r>
          </w:p>
        </w:tc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Позволяет видеть отклонения и стандартизировать сеть</w:t>
            </w:r>
          </w:p>
        </w:tc>
      </w:tr>
      <w:tr>
        <w:tc>
          <w:tcPr>
            <w:tcW w:type="dxa" w:w="3408"/>
            <w:vAlign w:val="top"/>
          </w:tcPr>
          <w:p>
            <w:r>
              <w:rPr>
                <w:sz w:val="18"/>
              </w:rPr>
              <w:t>Франчайзинг</w:t>
            </w:r>
          </w:p>
        </w:tc>
        <w:tc>
          <w:tcPr>
            <w:tcW w:type="dxa" w:w="3408"/>
            <w:vAlign w:val="top"/>
          </w:tcPr>
          <w:p>
            <w:r>
              <w:rPr>
                <w:sz w:val="18"/>
              </w:rPr>
              <w:t>Почти вся розница — партнёрская</w:t>
            </w:r>
          </w:p>
        </w:tc>
        <w:tc>
          <w:tcPr>
            <w:tcW w:type="dxa" w:w="3408"/>
            <w:vAlign w:val="top"/>
          </w:tcPr>
          <w:p>
            <w:r>
              <w:rPr>
                <w:sz w:val="18"/>
              </w:rPr>
              <w:t>Ускоряет покрытие и переносит значительную часть капитала на партнёров</w:t>
            </w:r>
          </w:p>
        </w:tc>
      </w:tr>
      <w:tr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Плотность сети</w:t>
            </w:r>
          </w:p>
        </w:tc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Закупки, логистика, доставка и бренд становятся эффективнее при масштабе</w:t>
            </w:r>
          </w:p>
        </w:tc>
        <w:tc>
          <w:tcPr>
            <w:tcW w:type="dxa" w:w="3408"/>
            <w:vAlign w:val="top"/>
            <w:shd w:fill="FAF8F3"/>
          </w:tcPr>
          <w:p>
            <w:r>
              <w:rPr>
                <w:sz w:val="18"/>
              </w:rPr>
              <w:t>В новом регионе без плотности логистика может стать слишком дорогой</w:t>
            </w:r>
          </w:p>
        </w:tc>
      </w:tr>
    </w:tbl>
    <w:p>
      <w:pPr>
        <w:pStyle w:val="Heading1"/>
      </w:pPr>
      <w:r>
        <w:t>4. Почему ассортимент — управленческий инструмент</w:t>
      </w:r>
    </w:p>
    <w:p>
      <w:r>
        <w:t>Официальная страница заявляет более 2 000 товаров и почти полную СТМ. Принцип «лучший в каждой категории» уменьшает дублирование SKU. Для небольшого ритейла важен не сам процент СТМ, а логика: меньше похожих позиций, понятнее роль каждой категории, контроль вклада после закупки и списаний.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4EFE6"/>
            <w:tcBorders>
              <w:top w:val="single" w:sz="8" w:color="C99A42"/>
              <w:left w:val="single" w:sz="18" w:color="C99A42"/>
              <w:bottom w:val="single" w:sz="8" w:color="C99A42"/>
              <w:right w:val="single" w:sz="8" w:color="C99A42"/>
            </w:tcBorders>
          </w:tcPr>
          <w:p>
            <w:r>
              <w:rPr>
                <w:b/>
                <w:color w:val="102238"/>
                <w:sz w:val="22"/>
              </w:rPr>
              <w:t>Не копировать буквально</w:t>
              <w:br/>
            </w:r>
            <w:r>
              <w:t>Высокую долю СТМ нельзя воспроизводить без системы качества, резервных поставщиков, спецификаций продукта и прослеживаемости партий.</w:t>
            </w:r>
          </w:p>
        </w:tc>
      </w:tr>
    </w:tbl>
    <w:p/>
    <w:p>
      <w:pPr>
        <w:pStyle w:val="Heading1"/>
      </w:pPr>
      <w:r>
        <w:t>5. Готовая еда: двигатель частоты и источник системного риска</w:t>
      </w:r>
    </w:p>
    <w:p>
      <w:r>
        <w:t>Готовая еда может повышать частоту посещений и средний вклад магазина, но одновременно делает сеть зависимой от прогноза спроса, холодовой цепи, сроков реализации, санитарии и качества производителей. В мае 2024 года в Екатеринбурге было зарегистрировано 18 обращений по поводу острой кишечной инфекции после продукции сети; проверки выявляли нарушения у поставщиков. Корректный вывод — не «вся сеть небезопасна», а то, что в такой модели поставщик становится частью риска бренда.</w:t>
      </w:r>
    </w:p>
    <w:p>
      <w:pPr>
        <w:pStyle w:val="Heading1"/>
      </w:pPr>
      <w:r>
        <w:t>6. Почему франчайзинг ускоряет — и усложняет — масштабирование</w:t>
      </w:r>
    </w:p>
    <w:p>
      <w:r>
        <w:t>На официальной странице сеть объясняет выбор франчайзинга скоростью роста и вовлечённостью партнёра. Forbes в апреле 2026 года приводил сообщение компании: из 247 точек только одна была собственной. На 24 августа официальный счётчик франшизы показывает 253 точки. Значит, качество сети в значительной степени зависит не только от центральной системы, но и от операционной дисциплины партнёров.</w:t>
      </w:r>
    </w:p>
    <w:p>
      <w:pPr>
        <w:pStyle w:val="Heading1"/>
      </w:pPr>
      <w:r>
        <w:t>7. Форматы и инвестиции: только заявления франчайзера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Формат</w:t>
            </w:r>
          </w:p>
        </w:tc>
        <w:tc>
          <w:tcPr>
            <w:tcW w:type="dxa" w:w="2045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Площадь</w:t>
            </w:r>
          </w:p>
        </w:tc>
        <w:tc>
          <w:tcPr>
            <w:tcW w:type="dxa" w:w="2045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Инвестиции</w:t>
            </w:r>
          </w:p>
        </w:tc>
        <w:tc>
          <w:tcPr>
            <w:tcW w:type="dxa" w:w="2045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Роялти</w:t>
            </w:r>
          </w:p>
        </w:tc>
        <w:tc>
          <w:tcPr>
            <w:tcW w:type="dxa" w:w="2045"/>
            <w:shd w:fill="102238"/>
            <w:vAlign w:val="center"/>
          </w:tcPr>
          <w:p>
            <w:r>
              <w:rPr>
                <w:b/>
                <w:color w:val="FFFFFF"/>
                <w:sz w:val="18"/>
              </w:rPr>
              <w:t>Окупаемость на сайте</w:t>
            </w:r>
          </w:p>
        </w:tc>
      </w:tr>
      <w:tr>
        <w:tc>
          <w:tcPr>
            <w:tcW w:type="dxa" w:w="2045"/>
            <w:vAlign w:val="top"/>
          </w:tcPr>
          <w:p>
            <w:r>
              <w:rPr>
                <w:sz w:val="18"/>
              </w:rPr>
              <w:t>Большой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100–200 м²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от 15 млн ₽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4%</w:t>
            </w:r>
          </w:p>
        </w:tc>
        <w:tc>
          <w:tcPr>
            <w:tcW w:type="dxa" w:w="2045"/>
            <w:vAlign w:val="top"/>
          </w:tcPr>
          <w:p>
            <w:r>
              <w:rPr>
                <w:sz w:val="18"/>
              </w:rPr>
              <w:t>от 40 мес.</w:t>
            </w:r>
          </w:p>
        </w:tc>
      </w:tr>
      <w:tr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Мини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40–80 м²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от 8 млн ₽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4,5%</w:t>
            </w:r>
          </w:p>
        </w:tc>
        <w:tc>
          <w:tcPr>
            <w:tcW w:type="dxa" w:w="2045"/>
            <w:vAlign w:val="top"/>
            <w:shd w:fill="FAF8F3"/>
          </w:tcPr>
          <w:p>
            <w:r>
              <w:rPr>
                <w:sz w:val="18"/>
              </w:rPr>
              <w:t>от 31 мес.</w:t>
            </w:r>
          </w:p>
        </w:tc>
      </w:tr>
    </w:tbl>
    <w:p>
      <w:r>
        <w:t>В FAQ той же страницы указана средняя окупаемость от 36 месяцев. Эти значения нельзя использовать как гарантированную экономику: они не заменяют аренду, трафик, ФОТ, списания, локальную себестоимость и структуру финансирования конкретной точки.</w:t>
      </w:r>
    </w:p>
    <w:p>
      <w:pPr>
        <w:pStyle w:val="Heading1"/>
      </w:pPr>
      <w:r>
        <w:t>8. Что показал 2025 год</w:t>
      </w:r>
    </w:p>
    <w:p>
      <w:r>
        <w:t>По оценке INFOLine, которую приводит Forbes, число магазинов «Жизньмарт» в 2025 году сократилось на 22%, до 280. Сама компания в апреле 2026 года сообщала о 247 работающих под брендом магазинах. INFOLine оценил выручку сети за 2025 год в 8,17 млрд ₽, тогда как компания называла 12,8 млрд ₽. Эти цифры относятся к разным методикам и не должны складываться или подменять друг друга.</w:t>
      </w:r>
    </w:p>
    <w:p>
      <w:pPr>
        <w:pStyle w:val="Heading1"/>
      </w:pPr>
      <w:r>
        <w:t>9. Новосибирск: масштаб без плотности не окупает логистику</w:t>
      </w:r>
    </w:p>
    <w:p>
      <w:r>
        <w:t>Сеть вышла в Новосибирск в 2023 году с планом минимум 40 партнёрских точек. По данным РБК Екатеринбург, за два года открыли 17 магазинов: 11 большого формата и 6 мини. В 2025 году сеть закрыла все супермаркеты, оставив на тот момент два мини, а распределительный центр был закрыт. Компания связывала результат с логистикой, ценовой конкуренцией и расхождением ожиданий партнёров по срокам окупаемости с реальностью.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4EFE6"/>
            <w:tcBorders>
              <w:top w:val="single" w:sz="8" w:color="C99A42"/>
              <w:left w:val="single" w:sz="18" w:color="C99A42"/>
              <w:bottom w:val="single" w:sz="8" w:color="C99A42"/>
              <w:right w:val="single" w:sz="8" w:color="C99A42"/>
            </w:tcBorders>
          </w:tcPr>
          <w:p>
            <w:r>
              <w:rPr>
                <w:b/>
                <w:color w:val="102238"/>
                <w:sz w:val="22"/>
              </w:rPr>
              <w:t>Урок для малого бизнеса</w:t>
              <w:br/>
            </w:r>
            <w:r>
              <w:t>Новая территория должна доказать собственную экономику. Нельзя переносить трафик, цену, логистику и привычки покупателей из домашнего региона как константу.</w:t>
            </w:r>
          </w:p>
        </w:tc>
      </w:tr>
    </w:tbl>
    <w:p/>
    <w:p>
      <w:pPr>
        <w:pStyle w:val="Heading1"/>
      </w:pPr>
      <w:r>
        <w:t>10. Санкт-Петербург: большой план не компенсирует слабую локацию</w:t>
      </w:r>
    </w:p>
    <w:p>
      <w:r>
        <w:t>Последний магазин сети в Санкт-Петербурге закрылся 19 июня 2026 года. По Retail.ru, на пике в 2023 году в городе работало около десяти точек, к 2024 году — четыре, а к началу 2026-го — одна. Среди факторов участники рынка называли сильную локальную конкуренцию и ошибки выбора локаций. Сеть заявила, что усиливает регионы и форматы, где видит устойчивую экономику.</w:t>
      </w:r>
    </w:p>
    <w:p>
      <w:pPr>
        <w:pStyle w:val="Heading1"/>
      </w:pPr>
      <w:r>
        <w:t>11. Челябинск: система и партнёр взаимозависимы</w:t>
      </w:r>
    </w:p>
    <w:p>
      <w:r>
        <w:t>Осенью 2025 года сеть отозвала франшизу у партнёра, управлявшего 12 точками, объяснив это нарушениями стандартов. Магазины перешли под бренд «Вкус и люди», но в январе 2026 года этот проект закрылся. К апрелю «Жизньмарт» сообщил о перезапуске шести точек с другими франчайзи. Кейс показывает две стороны: партнёру нужна система, но системе также нужен сильный оператор.</w:t>
      </w:r>
    </w:p>
    <w:p>
      <w:pPr>
        <w:pStyle w:val="Heading1"/>
      </w:pPr>
      <w:r>
        <w:t>12. Пять решений, которые можно перенести в небольшой бизнес</w:t>
      </w:r>
    </w:p>
    <w:p>
      <w:pPr>
        <w:pStyle w:val="ListNumber"/>
        <w:spacing w:after="60"/>
      </w:pPr>
      <w:r>
        <w:t>Собирать несколько частых сценариев покупки вокруг одной аудитории, а не расширять ассортимент без логики.</w:t>
      </w:r>
    </w:p>
    <w:p>
      <w:pPr>
        <w:pStyle w:val="ListNumber"/>
        <w:spacing w:after="60"/>
      </w:pPr>
      <w:r>
        <w:t>Считать вклад категории после закупки и списаний, а не только выручку.</w:t>
      </w:r>
    </w:p>
    <w:p>
      <w:pPr>
        <w:pStyle w:val="ListNumber"/>
        <w:spacing w:after="60"/>
      </w:pPr>
      <w:r>
        <w:t>Измерять сервис и операционные отклонения ежедневно, а не хранить стандарты только в регламенте.</w:t>
      </w:r>
    </w:p>
    <w:p>
      <w:pPr>
        <w:pStyle w:val="ListNumber"/>
        <w:spacing w:after="60"/>
      </w:pPr>
      <w:r>
        <w:t>Проверять локацию фактическими замерами до подписания долгой аренды.</w:t>
      </w:r>
    </w:p>
    <w:p>
      <w:pPr>
        <w:pStyle w:val="ListNumber"/>
        <w:spacing w:after="60"/>
      </w:pPr>
      <w:r>
        <w:t>Создавать резервных поставщиков для критичных категорий и заранее описывать процедуру отзыва/замены продукта.</w:t>
      </w:r>
    </w:p>
    <w:p>
      <w:pPr>
        <w:pStyle w:val="Heading1"/>
      </w:pPr>
      <w:r>
        <w:t>13. Что нельзя копировать автоматически</w:t>
      </w:r>
    </w:p>
    <w:p>
      <w:pPr>
        <w:pStyle w:val="ListBullet"/>
        <w:spacing w:after="60"/>
      </w:pPr>
      <w:r>
        <w:t>Чужой срок окупаемости и заявленную прибыль без модели конкретной точки.</w:t>
      </w:r>
    </w:p>
    <w:p>
      <w:pPr>
        <w:pStyle w:val="ListBullet"/>
        <w:spacing w:after="60"/>
      </w:pPr>
      <w:r>
        <w:t>Высокую долю СТМ без собственной функции контроля качества.</w:t>
      </w:r>
    </w:p>
    <w:p>
      <w:pPr>
        <w:pStyle w:val="ListBullet"/>
        <w:spacing w:after="60"/>
      </w:pPr>
      <w:r>
        <w:t>Готовую еду без учёта списаний, санитарии и холодовой цепи.</w:t>
      </w:r>
    </w:p>
    <w:p>
      <w:pPr>
        <w:pStyle w:val="ListBullet"/>
        <w:spacing w:after="60"/>
      </w:pPr>
      <w:r>
        <w:t>Региональную экспансию до доказанной плотности спроса и логистики.</w:t>
      </w:r>
    </w:p>
    <w:p>
      <w:pPr>
        <w:pStyle w:val="ListBullet"/>
        <w:spacing w:after="60"/>
      </w:pPr>
      <w:r>
        <w:t>Дорогой дизайн и технологические элементы, если они не улучшают unit-экономику.</w:t>
      </w:r>
    </w:p>
    <w:p>
      <w:pPr>
        <w:pStyle w:val="Heading1"/>
      </w:pPr>
      <w:r>
        <w:t>14. Вердикт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6DB"/>
            <w:tcBorders>
              <w:top w:val="single" w:sz="8" w:color="C99A42"/>
              <w:left w:val="single" w:sz="18" w:color="C99A42"/>
              <w:bottom w:val="single" w:sz="8" w:color="C99A42"/>
              <w:right w:val="single" w:sz="8" w:color="C99A42"/>
            </w:tcBorders>
          </w:tcPr>
          <w:p>
            <w:r>
              <w:rPr>
                <w:b/>
                <w:color w:val="102238"/>
                <w:sz w:val="22"/>
              </w:rPr>
              <w:t>🟡 Сильная концепция, но не «копируй и открывай»</w:t>
              <w:br/>
            </w:r>
            <w:r>
              <w:t>Главный объект анализа — не сеть в целом, а экономика одной конкретной точки. Сильный бренд, IT и стандарты уменьшают часть рисков, но не отменяют трафик, аренду, логистику, списания, качество поставщиков и компетентность оператора.</w:t>
            </w:r>
          </w:p>
        </w:tc>
      </w:tr>
    </w:tbl>
    <w:p/>
    <w:p>
      <w:pPr>
        <w:pStyle w:val="Heading1"/>
      </w:pPr>
      <w:r>
        <w:t>Источники и статус данных</w:t>
      </w:r>
    </w:p>
    <w:p>
      <w:r>
        <w:rPr>
          <w:b/>
        </w:rPr>
        <w:t xml:space="preserve">Официальная страница франшизы «Жизньмарт»: </w:t>
      </w:r>
      <w:r>
        <w:t xml:space="preserve">Текущий счётчик 253 франчайзинговых магазинов; форматы, площади, инвестиции, роялти, СТМ, ассортимент, IT и маркетинговые сроки окупаемости. </w:t>
      </w:r>
      <w:hyperlink r:id="rId9">
        <w:r>
          <w:rPr>
            <w:color w:val="0563C1"/>
            <w:u w:val="single"/>
          </w:rPr>
          <w:t>https://fr.lifemart.ru/</w:t>
        </w:r>
      </w:hyperlink>
    </w:p>
    <w:p>
      <w:r>
        <w:rPr>
          <w:b/>
        </w:rPr>
        <w:t xml:space="preserve">Forbes Франшизы, 24.04.2026: </w:t>
      </w:r>
      <w:r>
        <w:t xml:space="preserve">INFOLine по 2025 году, 247 точек по сообщению компании на апрель 2026, Челябинск, восстановление сети. </w:t>
      </w:r>
      <w:hyperlink r:id="rId10">
        <w:r>
          <w:rPr>
            <w:color w:val="0563C1"/>
            <w:u w:val="single"/>
          </w:rPr>
          <w:t>https://www.forbes.ru/franchises/559869-retejler-zizn-mart-vosstanavlivaet-francajzingovuu-set</w:t>
        </w:r>
      </w:hyperlink>
    </w:p>
    <w:p>
      <w:r>
        <w:rPr>
          <w:b/>
        </w:rPr>
        <w:t xml:space="preserve">РБК Екатеринбург, 14.04.2025: </w:t>
      </w:r>
      <w:r>
        <w:t xml:space="preserve">Новосибирск: 17 открытых точек при плане минимум 40; закрытие большинства точек, логистика, конкуренция и ожидания партнёров. </w:t>
      </w:r>
      <w:hyperlink r:id="rId11">
        <w:r>
          <w:rPr>
            <w:color w:val="0563C1"/>
            <w:u w:val="single"/>
          </w:rPr>
          <w:t>https://ekb.rbc.ru/ekb/freenews/67fcd9489a794723048c3cb1</w:t>
        </w:r>
      </w:hyperlink>
    </w:p>
    <w:p>
      <w:r>
        <w:rPr>
          <w:b/>
        </w:rPr>
        <w:t xml:space="preserve">Retail.ru, 19.06.2026: </w:t>
      </w:r>
      <w:r>
        <w:t xml:space="preserve">Закрытие последней точки в Санкт-Петербурге; динамика присутствия и комментарии участников рынка/сети. </w:t>
      </w:r>
      <w:hyperlink r:id="rId12">
        <w:r>
          <w:rPr>
            <w:color w:val="0563C1"/>
            <w:u w:val="single"/>
          </w:rPr>
          <w:t>https://www.retail.ru/news/set-zhiznmart-zakryvaet-posledniy-magazin-v-peterburge-19-iyunya-2026-279012/</w:t>
        </w:r>
      </w:hyperlink>
    </w:p>
    <w:p>
      <w:r>
        <w:rPr>
          <w:b/>
        </w:rPr>
        <w:t xml:space="preserve">РБК Екатеринбург, 22–30.05.2024: </w:t>
      </w:r>
      <w:r>
        <w:t xml:space="preserve">18 обращений по ОКИ, результаты проверок и риск поставщиков готовой еды. </w:t>
      </w:r>
      <w:hyperlink r:id="rId13">
        <w:r>
          <w:rPr>
            <w:color w:val="0563C1"/>
            <w:u w:val="single"/>
          </w:rPr>
          <w:t>https://ekb.rbc.ru/ekb/freenews/6658174c9a79475f4c91b4ec</w:t>
        </w:r>
      </w:hyperlink>
    </w:p>
    <w:p>
      <w:r>
        <w:rPr>
          <w:b/>
        </w:rPr>
        <w:t xml:space="preserve">Важно: </w:t>
      </w:r>
      <w:r>
        <w:t>данные официальной страницы франшизы обозначаются как заявления компании. Независимые оценки INFOLine и собственные оценки сети не смешиваются. Экономика отдельных франчайзи не выводится из отчётности управляющей компании.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B31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23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0223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0223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0223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r.lifemart.ru/" TargetMode="External"/><Relationship Id="rId10" Type="http://schemas.openxmlformats.org/officeDocument/2006/relationships/hyperlink" Target="https://www.forbes.ru/franchises/559869-retejler-zizn-mart-vosstanavlivaet-francajzingovuu-set" TargetMode="External"/><Relationship Id="rId11" Type="http://schemas.openxmlformats.org/officeDocument/2006/relationships/hyperlink" Target="https://ekb.rbc.ru/ekb/freenews/67fcd9489a794723048c3cb1" TargetMode="External"/><Relationship Id="rId12" Type="http://schemas.openxmlformats.org/officeDocument/2006/relationships/hyperlink" Target="https://www.retail.ru/news/set-zhiznmart-zakryvaet-posledniy-magazin-v-peterburge-19-iyunya-2026-279012/" TargetMode="External"/><Relationship Id="rId13" Type="http://schemas.openxmlformats.org/officeDocument/2006/relationships/hyperlink" Target="https://ekb.rbc.ru/ekb/freenews/6658174c9a79475f4c91b4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